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版本号：SNJZ-2025-15920251120001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2025年长安区省级粮油绿色高效提单产千镇共建“三主融合平台”展示田项目（小麦喷施作业）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SNJZ-2025-159</w:t>
      </w:r>
      <w:r>
        <w:br/>
      </w:r>
      <w:r>
        <w:br/>
      </w:r>
      <w:r>
        <w:br/>
      </w:r>
    </w:p>
    <w:p>
      <w:pPr>
        <w:pStyle w:val="null3"/>
        <w:jc w:val="center"/>
        <w:outlineLvl w:val="2"/>
      </w:pPr>
      <w:r>
        <w:rPr>
          <w:rFonts w:ascii="仿宋_GB2312" w:hAnsi="仿宋_GB2312" w:cs="仿宋_GB2312" w:eastAsia="仿宋_GB2312"/>
          <w:sz w:val="28"/>
          <w:b/>
        </w:rPr>
        <w:t>西安市长安区农业技术推广中心</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西安市长安区农业技术推广中心</w:t>
      </w:r>
      <w:r>
        <w:rPr>
          <w:rFonts w:ascii="仿宋_GB2312" w:hAnsi="仿宋_GB2312" w:cs="仿宋_GB2312" w:eastAsia="仿宋_GB2312"/>
        </w:rPr>
        <w:t>委托，拟对</w:t>
      </w:r>
      <w:r>
        <w:rPr>
          <w:rFonts w:ascii="仿宋_GB2312" w:hAnsi="仿宋_GB2312" w:cs="仿宋_GB2312" w:eastAsia="仿宋_GB2312"/>
        </w:rPr>
        <w:t>2025年长安区省级粮油绿色高效提单产千镇共建“三主融合平台”展示田项目（小麦喷施作业）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2025年长安区省级粮油绿色高效提单产千镇共建“三主融合平台”展示田项目（小麦喷施作业）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建设小麦绿色高效提单产千镇共建“三主融合平台”展示田10000亩。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采购包1（建设小麦绿色高效提单产千镇共建“三主融合平台”展示田10000亩）：属于专门面向中小企业采购。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被授权人身份证复印件及被授权人投标截止日前一年内已缴存的至少一个月的社会保障资金凭证；非法人单位参照执行。</w:t>
      </w:r>
    </w:p>
    <w:p>
      <w:pPr>
        <w:pStyle w:val="null3"/>
      </w:pPr>
      <w:r>
        <w:rPr>
          <w:rFonts w:ascii="仿宋_GB2312" w:hAnsi="仿宋_GB2312" w:cs="仿宋_GB2312" w:eastAsia="仿宋_GB2312"/>
        </w:rPr>
        <w:t>3、财务状况报告：提供经审计的2024年度的财务报告或提交投标响应文件截止时间前十二个月内银行资信证明；或政府采购信用担保机构出具的投标担保函。</w:t>
      </w:r>
    </w:p>
    <w:p>
      <w:pPr>
        <w:pStyle w:val="null3"/>
      </w:pPr>
      <w:r>
        <w:rPr>
          <w:rFonts w:ascii="仿宋_GB2312" w:hAnsi="仿宋_GB2312" w:cs="仿宋_GB2312" w:eastAsia="仿宋_GB2312"/>
        </w:rPr>
        <w:t>4、税收缴纳证明：提供投标响应文件递交截止时间前近十二个月内至少一个月已缴纳的纳税凭据或完税证明；依法免税的供应商应提供相关文件证明。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6、提供具有履行本合同所必需的设备和专业技术能力的承诺：具有履行本合同所必需的设备和专业技术能力的承诺书</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8、提供所投药剂生产厂家有效的“三证 ”（《农药登记证》、《农药生产许可证》和《农药标准证》）：提供所投药剂生产厂家有效的“三证 ”（《农药登记证》、《农药生产许可证》和《农药标准证》）。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西安市长安区南长安街201A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029-85622271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左建强 程钰 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在收到中标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西安市长安区农业技术推广中心</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联系人：左建强</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建设小麦绿色高效提单产千镇共建“三主融合平台”展示田10000亩。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小麦喷施作业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标的名称：小麦喷施作业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8"/>
              <w:gridCol w:w="299"/>
              <w:gridCol w:w="1896"/>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 xml:space="preserve"> </w:t>
                  </w:r>
                  <w:r>
                    <w:rPr>
                      <w:rFonts w:ascii="仿宋_GB2312" w:hAnsi="仿宋_GB2312" w:cs="仿宋_GB2312" w:eastAsia="仿宋_GB2312"/>
                      <w:sz w:val="19"/>
                      <w:b/>
                    </w:rPr>
                    <w:t>参数性质</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 xml:space="preserve"> </w:t>
                  </w:r>
                  <w:r>
                    <w:rPr>
                      <w:rFonts w:ascii="仿宋_GB2312" w:hAnsi="仿宋_GB2312" w:cs="仿宋_GB2312" w:eastAsia="仿宋_GB2312"/>
                      <w:sz w:val="19"/>
                      <w:b/>
                    </w:rPr>
                    <w:t>序号</w:t>
                  </w:r>
                </w:p>
              </w:tc>
              <w:tc>
                <w:tcPr>
                  <w:tcW w:type="dxa" w:w="1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 xml:space="preserve"> </w:t>
                  </w:r>
                  <w:r>
                    <w:rPr>
                      <w:rFonts w:ascii="仿宋_GB2312" w:hAnsi="仿宋_GB2312" w:cs="仿宋_GB2312" w:eastAsia="仿宋_GB2312"/>
                      <w:sz w:val="19"/>
                      <w:b/>
                    </w:rPr>
                    <w:t>技术参数与性能指标</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一、服务内容</w:t>
                  </w:r>
                </w:p>
                <w:p>
                  <w:pPr>
                    <w:pStyle w:val="null3"/>
                    <w:jc w:val="both"/>
                  </w:pPr>
                  <w:r>
                    <w:rPr>
                      <w:rFonts w:ascii="仿宋_GB2312" w:hAnsi="仿宋_GB2312" w:cs="仿宋_GB2312" w:eastAsia="仿宋_GB2312"/>
                      <w:sz w:val="24"/>
                    </w:rPr>
                    <w:t>1、工作区域：长安区</w:t>
                  </w:r>
                </w:p>
                <w:p>
                  <w:pPr>
                    <w:pStyle w:val="null3"/>
                    <w:jc w:val="both"/>
                  </w:pPr>
                  <w:r>
                    <w:rPr>
                      <w:rFonts w:ascii="仿宋_GB2312" w:hAnsi="仿宋_GB2312" w:cs="仿宋_GB2312" w:eastAsia="仿宋_GB2312"/>
                      <w:sz w:val="24"/>
                    </w:rPr>
                    <w:t>2、工作内容：</w:t>
                  </w:r>
                </w:p>
                <w:p>
                  <w:pPr>
                    <w:pStyle w:val="null3"/>
                    <w:jc w:val="both"/>
                  </w:pPr>
                  <w:r>
                    <w:rPr>
                      <w:rFonts w:ascii="仿宋_GB2312" w:hAnsi="仿宋_GB2312" w:cs="仿宋_GB2312" w:eastAsia="仿宋_GB2312"/>
                      <w:sz w:val="24"/>
                    </w:rPr>
                    <w:t>建设小麦绿色高效提单产千镇共建</w:t>
                  </w:r>
                  <w:r>
                    <w:rPr>
                      <w:rFonts w:ascii="仿宋_GB2312" w:hAnsi="仿宋_GB2312" w:cs="仿宋_GB2312" w:eastAsia="仿宋_GB2312"/>
                      <w:sz w:val="24"/>
                    </w:rPr>
                    <w:t>“三主融合平台”展示田10000亩</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按照</w:t>
                  </w:r>
                  <w:r>
                    <w:rPr>
                      <w:rFonts w:ascii="仿宋_GB2312" w:hAnsi="仿宋_GB2312" w:cs="仿宋_GB2312" w:eastAsia="仿宋_GB2312"/>
                      <w:sz w:val="24"/>
                    </w:rPr>
                    <w:t>30元/亩（人工+药剂）补助标准开展小麦化学除草（阔叶）及喷施植物生长调节剂；按照20元/亩（人工+药剂）补助标准开展小麦条锈病防治。实施面积10000亩；</w:t>
                  </w:r>
                </w:p>
                <w:p>
                  <w:pPr>
                    <w:pStyle w:val="null3"/>
                    <w:jc w:val="both"/>
                  </w:pPr>
                  <w:r>
                    <w:rPr>
                      <w:rFonts w:ascii="仿宋_GB2312" w:hAnsi="仿宋_GB2312" w:cs="仿宋_GB2312" w:eastAsia="仿宋_GB2312"/>
                      <w:sz w:val="24"/>
                    </w:rPr>
                    <w:t>二、技术要求</w:t>
                  </w:r>
                </w:p>
                <w:p>
                  <w:pPr>
                    <w:pStyle w:val="null3"/>
                    <w:jc w:val="both"/>
                  </w:pPr>
                  <w:r>
                    <w:rPr>
                      <w:rFonts w:ascii="仿宋_GB2312" w:hAnsi="仿宋_GB2312" w:cs="仿宋_GB2312" w:eastAsia="仿宋_GB2312"/>
                      <w:sz w:val="24"/>
                    </w:rPr>
                    <w:t>1、小麦化学除草（阔叶）及喷施植物生长调节剂药剂选用：36%唑草•苯磺隆（阔叶）亩用量7.5克+28-高芸苔素内酯亩用量10毫升；</w:t>
                  </w:r>
                </w:p>
                <w:p>
                  <w:pPr>
                    <w:pStyle w:val="null3"/>
                    <w:jc w:val="both"/>
                  </w:pPr>
                  <w:r>
                    <w:rPr>
                      <w:rFonts w:ascii="仿宋_GB2312" w:hAnsi="仿宋_GB2312" w:cs="仿宋_GB2312" w:eastAsia="仿宋_GB2312"/>
                      <w:sz w:val="24"/>
                    </w:rPr>
                    <w:t>2、小麦条锈病防治药剂选用：430 克/升戊唑醇悬浮剂，亩用量25克。</w:t>
                  </w:r>
                </w:p>
                <w:p>
                  <w:pPr>
                    <w:pStyle w:val="null3"/>
                    <w:jc w:val="both"/>
                  </w:pPr>
                  <w:r>
                    <w:rPr>
                      <w:rFonts w:ascii="仿宋_GB2312" w:hAnsi="仿宋_GB2312" w:cs="仿宋_GB2312" w:eastAsia="仿宋_GB2312"/>
                      <w:sz w:val="24"/>
                    </w:rPr>
                    <w:t>3、防治器械可选用大型自走式喷杆喷雾机、植保无人机等。</w:t>
                  </w:r>
                </w:p>
                <w:p>
                  <w:pPr>
                    <w:pStyle w:val="null3"/>
                    <w:jc w:val="both"/>
                  </w:pPr>
                  <w:r>
                    <w:rPr>
                      <w:rFonts w:ascii="仿宋_GB2312" w:hAnsi="仿宋_GB2312" w:cs="仿宋_GB2312" w:eastAsia="仿宋_GB2312"/>
                      <w:sz w:val="24"/>
                    </w:rPr>
                    <w:t>4、小麦防治作业防效85%以上，无漏防。</w:t>
                  </w:r>
                </w:p>
                <w:p>
                  <w:pPr>
                    <w:pStyle w:val="null3"/>
                    <w:jc w:val="both"/>
                  </w:pPr>
                  <w:r>
                    <w:rPr>
                      <w:rFonts w:ascii="仿宋_GB2312" w:hAnsi="仿宋_GB2312" w:cs="仿宋_GB2312" w:eastAsia="仿宋_GB2312"/>
                      <w:sz w:val="24"/>
                    </w:rPr>
                    <w:t>5、作业组织采用植保部门要求的药剂，所有药剂必须符合国家的“三证”要求。</w:t>
                  </w:r>
                </w:p>
                <w:p>
                  <w:pPr>
                    <w:pStyle w:val="null3"/>
                    <w:jc w:val="both"/>
                  </w:pPr>
                  <w:r>
                    <w:rPr>
                      <w:rFonts w:ascii="仿宋_GB2312" w:hAnsi="仿宋_GB2312" w:cs="仿宋_GB2312" w:eastAsia="仿宋_GB2312"/>
                      <w:sz w:val="24"/>
                    </w:rPr>
                    <w:t>三、服务要求</w:t>
                  </w:r>
                </w:p>
                <w:p>
                  <w:pPr>
                    <w:pStyle w:val="null3"/>
                    <w:jc w:val="both"/>
                  </w:pPr>
                  <w:r>
                    <w:rPr>
                      <w:rFonts w:ascii="仿宋_GB2312" w:hAnsi="仿宋_GB2312" w:cs="仿宋_GB2312" w:eastAsia="仿宋_GB2312"/>
                      <w:sz w:val="24"/>
                    </w:rPr>
                    <w:t>1、成交供应商按照采购人要求完成项目实施过程资料的收集和整理。</w:t>
                  </w:r>
                </w:p>
                <w:p>
                  <w:pPr>
                    <w:pStyle w:val="null3"/>
                    <w:jc w:val="both"/>
                  </w:pPr>
                  <w:r>
                    <w:rPr>
                      <w:rFonts w:ascii="仿宋_GB2312" w:hAnsi="仿宋_GB2312" w:cs="仿宋_GB2312" w:eastAsia="仿宋_GB2312"/>
                      <w:sz w:val="24"/>
                    </w:rPr>
                    <w:t>2、成交供应商必须按照防治规范操作，如违反防治规范，责任由成交供应商承担。</w:t>
                  </w:r>
                </w:p>
                <w:p>
                  <w:pPr>
                    <w:pStyle w:val="null3"/>
                    <w:jc w:val="both"/>
                  </w:pPr>
                  <w:r>
                    <w:rPr>
                      <w:rFonts w:ascii="仿宋_GB2312" w:hAnsi="仿宋_GB2312" w:cs="仿宋_GB2312" w:eastAsia="仿宋_GB2312"/>
                      <w:sz w:val="24"/>
                    </w:rPr>
                    <w:t>3、防治器械可选用大型自走式喷杆喷雾机，植保无人机等，器械数量不少于6台（架）。</w:t>
                  </w:r>
                </w:p>
                <w:p>
                  <w:pPr>
                    <w:pStyle w:val="null3"/>
                    <w:jc w:val="both"/>
                  </w:pPr>
                  <w:r>
                    <w:rPr>
                      <w:rFonts w:ascii="仿宋_GB2312" w:hAnsi="仿宋_GB2312" w:cs="仿宋_GB2312" w:eastAsia="仿宋_GB2312"/>
                      <w:sz w:val="24"/>
                    </w:rPr>
                    <w:t>4、小麦防治作业防效85%以上，无漏防。</w:t>
                  </w:r>
                </w:p>
                <w:p>
                  <w:pPr>
                    <w:pStyle w:val="null3"/>
                    <w:jc w:val="both"/>
                  </w:pPr>
                  <w:r>
                    <w:rPr>
                      <w:rFonts w:ascii="仿宋_GB2312" w:hAnsi="仿宋_GB2312" w:cs="仿宋_GB2312" w:eastAsia="仿宋_GB2312"/>
                      <w:sz w:val="24"/>
                    </w:rPr>
                    <w:t>5、作业组织采用植保部门要求的药剂，所有药剂必须符合国家的“三证”要求；</w:t>
                  </w:r>
                </w:p>
                <w:p>
                  <w:pPr>
                    <w:pStyle w:val="null3"/>
                    <w:jc w:val="both"/>
                  </w:pPr>
                  <w:r>
                    <w:rPr>
                      <w:rFonts w:ascii="仿宋_GB2312" w:hAnsi="仿宋_GB2312" w:cs="仿宋_GB2312" w:eastAsia="仿宋_GB2312"/>
                      <w:sz w:val="24"/>
                    </w:rPr>
                    <w:t>四、其他</w:t>
                  </w:r>
                </w:p>
                <w:p>
                  <w:pPr>
                    <w:pStyle w:val="null3"/>
                    <w:jc w:val="both"/>
                  </w:pPr>
                  <w:r>
                    <w:rPr>
                      <w:rFonts w:ascii="仿宋_GB2312" w:hAnsi="仿宋_GB2312" w:cs="仿宋_GB2312" w:eastAsia="仿宋_GB2312"/>
                      <w:sz w:val="24"/>
                    </w:rPr>
                    <w:t>1、如</w:t>
                  </w:r>
                  <w:r>
                    <w:rPr>
                      <w:rFonts w:ascii="仿宋_GB2312" w:hAnsi="仿宋_GB2312" w:cs="仿宋_GB2312" w:eastAsia="仿宋_GB2312"/>
                      <w:sz w:val="24"/>
                    </w:rPr>
                    <w:t>成交供应商</w:t>
                  </w:r>
                  <w:r>
                    <w:rPr>
                      <w:rFonts w:ascii="仿宋_GB2312" w:hAnsi="仿宋_GB2312" w:cs="仿宋_GB2312" w:eastAsia="仿宋_GB2312"/>
                      <w:sz w:val="24"/>
                    </w:rPr>
                    <w:t>作业效果不佳应</w:t>
                  </w:r>
                  <w:r>
                    <w:rPr>
                      <w:rFonts w:ascii="仿宋_GB2312" w:hAnsi="仿宋_GB2312" w:cs="仿宋_GB2312" w:eastAsia="仿宋_GB2312"/>
                      <w:sz w:val="24"/>
                    </w:rPr>
                    <w:t>无条件</w:t>
                  </w:r>
                  <w:r>
                    <w:rPr>
                      <w:rFonts w:ascii="仿宋_GB2312" w:hAnsi="仿宋_GB2312" w:cs="仿宋_GB2312" w:eastAsia="仿宋_GB2312"/>
                      <w:sz w:val="24"/>
                    </w:rPr>
                    <w:t>组织免费重新作业；</w:t>
                  </w:r>
                </w:p>
                <w:p>
                  <w:pPr>
                    <w:pStyle w:val="null3"/>
                    <w:jc w:val="both"/>
                  </w:pPr>
                  <w:r>
                    <w:rPr>
                      <w:rFonts w:ascii="仿宋_GB2312" w:hAnsi="仿宋_GB2312" w:cs="仿宋_GB2312" w:eastAsia="仿宋_GB2312"/>
                      <w:sz w:val="24"/>
                    </w:rPr>
                    <w:t>2、如</w:t>
                  </w:r>
                  <w:r>
                    <w:rPr>
                      <w:rFonts w:ascii="仿宋_GB2312" w:hAnsi="仿宋_GB2312" w:cs="仿宋_GB2312" w:eastAsia="仿宋_GB2312"/>
                      <w:sz w:val="24"/>
                    </w:rPr>
                    <w:t>成交供应商</w:t>
                  </w:r>
                  <w:r>
                    <w:rPr>
                      <w:rFonts w:ascii="仿宋_GB2312" w:hAnsi="仿宋_GB2312" w:cs="仿宋_GB2312" w:eastAsia="仿宋_GB2312"/>
                      <w:sz w:val="24"/>
                    </w:rPr>
                    <w:t>作业不力或遗误，产生的经济损失由</w:t>
                  </w:r>
                  <w:r>
                    <w:rPr>
                      <w:rFonts w:ascii="仿宋_GB2312" w:hAnsi="仿宋_GB2312" w:cs="仿宋_GB2312" w:eastAsia="仿宋_GB2312"/>
                      <w:sz w:val="24"/>
                    </w:rPr>
                    <w:t>成交供应商</w:t>
                  </w:r>
                  <w:r>
                    <w:rPr>
                      <w:rFonts w:ascii="仿宋_GB2312" w:hAnsi="仿宋_GB2312" w:cs="仿宋_GB2312" w:eastAsia="仿宋_GB2312"/>
                      <w:sz w:val="24"/>
                    </w:rPr>
                    <w:t>承担。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成交供应商</w:t>
                  </w:r>
                  <w:r>
                    <w:rPr>
                      <w:rFonts w:ascii="仿宋_GB2312" w:hAnsi="仿宋_GB2312" w:cs="仿宋_GB2312" w:eastAsia="仿宋_GB2312"/>
                      <w:sz w:val="24"/>
                    </w:rPr>
                    <w:t>按照甲方要求完成项目实施过程资料的收集和整理。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供应商根据本项目实际需求及特点，提供本项目技术服务方案，组织管理制度，质量保证方案，应急方案，人员配备方案及同类项目业绩证明材料。</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成交单位提供的验收申请，组织采购人相关人员和专家组成的验收小组对服务进行验收。验收依据为合同文本、磋商文件和国内相应的标准、规范。验收合格后，采购人填写验收单，并由成交单位向采购人提交货物或服务所包含的所有资料，以便采购人使用单位日后管理和维护。验收不合格的，限期整改，整改过程中产生的费用和货物发生的一切损失由成交单位承担；整改超过二次的，采购人有权单方解除本合同，成交单位应无条件退还已收取的全部合同价款，并按合同总价5 %向采购人支付违约金，违约金不足弥补采购人损失的，由成交单位负责赔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无预付款，该项目验收完成后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法定代表人参加投标时，提供法定代表人证明书；授权代表参加投标时，提供法定代表人、被授权人身份证复印件及被授权人投标截止日前一年内已缴存的至少一个月的社会保障资金凭证；非法人单位参照执行。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提供经审计的2024年度的财务报告或提交投标响应文件截止时间前十二个月内银行资信证明；或政府采购信用担保机构出具的投标担保函。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提供投标响应文件递交截止时间前近十二个月内至少一个月已缴纳的纳税凭据或完税证明；依法免税的供应商应提供相关文件证明。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提供所投药剂生产厂家有效的“三证 ”（《农药登记证》、《农药生产许可证》和《农药标准证》）</w:t>
            </w:r>
          </w:p>
        </w:tc>
        <w:tc>
          <w:tcPr>
            <w:tcW w:type="dxa" w:w="3322"/>
          </w:tcPr>
          <w:p>
            <w:pPr>
              <w:pStyle w:val="null3"/>
            </w:pPr>
            <w:r>
              <w:rPr>
                <w:rFonts w:ascii="仿宋_GB2312" w:hAnsi="仿宋_GB2312" w:cs="仿宋_GB2312" w:eastAsia="仿宋_GB2312"/>
              </w:rPr>
              <w:t>提供所投药剂生产厂家有效的“三证 ”（《农药登记证》、《农药生产许可证》和《农药标准证》）。</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不满足磋商文件3.3条商务要求的</w:t>
            </w:r>
          </w:p>
        </w:tc>
        <w:tc>
          <w:tcPr>
            <w:tcW w:type="dxa" w:w="1661"/>
          </w:tcPr>
          <w:p>
            <w:pPr>
              <w:pStyle w:val="null3"/>
            </w:pPr>
            <w:r>
              <w:rPr>
                <w:rFonts w:ascii="仿宋_GB2312" w:hAnsi="仿宋_GB2312" w:cs="仿宋_GB2312" w:eastAsia="仿宋_GB2312"/>
              </w:rPr>
              <w:t>商务条款响应偏离表(1).docx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磋商报价价格高于磋商文件公布的采购预算的。</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提供供应商拒绝政府采购领域商业贿赂承诺书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出现不符合法律、法规和竞争性磋商文件中规定的其他实质性要求的情况，其响应文件按无效文件处理。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根据本项目实际需求及特点，制定项目实施方案（包括物料准备方案、进度计划等内容）。 二、评审标准 1、完整性：方案必须全面，对评审内容中的各项要求有详细描述； 2、可实施性：切合本项目实际情况，提出步骤清晰、合理的方案； 3、针对性：方案能够紧扣项目实际情况， 内容科学合理。 三、赋分标准（满分 9分） ①物料准备方案安排：每完全满足一个评审标准得1.5分，存在瑕疵得0.5分，最高得4.5分。 ②进度计划每完全满足一个评审标准得1.5分，存在瑕疵得0.5分，最高得4.5分。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一、评审内容服务保障措施：包含确保人员安全、环境安全等。 二、评审标准 1、完整性：方案必须全面，对评审内容中的各项要求有详细描述； 2、可实施性：切合本项目实际情况，提出步骤清晰、合理的方案； 3、针对性：方案能够紧扣项目实际情况， 内容科学合理。 三、赋分标准（满分 9分） ①人员安全：每完全满足一个评审标准得1.5分，存在瑕疵得0.5分，最高得4.5分。②环境安全每完全满足一个评审标准得1.5分，存在瑕疵得0.5分，最高4.5分。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一、评审内容服务保障措施：包含应急和突发事件的处理措施、预警机制、故障处理及补救措施。 二、评审标准 1、完整性：方案必须全面，对评审内容中的各项要求有详细描述； 2、可实施性：切合本项目实际情况，提出步骤清晰、合理的方案； 3、针对性：方案能够紧扣项目实际情况， 内容科学合理。 三、赋分标准（满分 13.5分） ①应急和突发事件的处理措施：每完全满足一个评审标准得1.5分，存在瑕疵得0.5分，最高得4.5分。 ②预警机制每完全满足一个评审标准得1.5分，存在瑕疵得0.5分，最高4.5分。未提供方案或方案存在重大缺陷得0分。 ③故障处理及补救措施每完全满足一个评审标准得1.5分，存在瑕疵得0.5分，最高4.5分。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服务配置</w:t>
            </w:r>
          </w:p>
        </w:tc>
        <w:tc>
          <w:tcPr>
            <w:tcW w:type="dxa" w:w="2492"/>
          </w:tcPr>
          <w:p>
            <w:pPr>
              <w:pStyle w:val="null3"/>
            </w:pPr>
            <w:r>
              <w:rPr>
                <w:rFonts w:ascii="仿宋_GB2312" w:hAnsi="仿宋_GB2312" w:cs="仿宋_GB2312" w:eastAsia="仿宋_GB2312"/>
              </w:rPr>
              <w:t>一、评审内容 根据针对本项目服务需求涉及的药剂说明及检验报告、防治器械相关证明材料的提供情况。 二、评审标准 1、完整性：方案必须全面，对评审内容中的各项要求有详细描述； 2、可实施性：切合本项目实际情况，提出合理的方案； 3、针对性：方案能够紧扣项目实际情况， 内容科学合理。 三、赋分标准（满分 9分） ①药剂：每完全满足一个评审标准得1.5分，存在瑕疵得0.5分，最高得4.5分。 ②防治器械每完全满足一个评审标准得1.5分，存在瑕疵得0.5分，最高得4.5分。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产品合法来源渠道证明</w:t>
            </w:r>
          </w:p>
        </w:tc>
        <w:tc>
          <w:tcPr>
            <w:tcW w:type="dxa" w:w="2492"/>
          </w:tcPr>
          <w:p>
            <w:pPr>
              <w:pStyle w:val="null3"/>
            </w:pPr>
            <w:r>
              <w:rPr>
                <w:rFonts w:ascii="仿宋_GB2312" w:hAnsi="仿宋_GB2312" w:cs="仿宋_GB2312" w:eastAsia="仿宋_GB2312"/>
              </w:rPr>
              <w:t>1.为确保生产供应的药剂无假货、且无产权纠纷，并符合国际、国内相关标准或行业标准，提供产品合法来源渠道证明材料（包括但不限于销售协议、代理协议、原厂授权等），根据响应程度进行赋分： 证明材料完整、全面、详细的计5.5分； 证明材料有（含1项）1项≤欠缺，得3分； 证明材料有≥2项以上欠缺的得1分； 未提供不得分。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提供实施团队人员（包括团队人员、证书证件、职称、经验分工等）和责任制度或管理制度。 二、评审标准 1、完整性：方案必须全面，对评审内容中的各项要求有详细描述； 2、针对性：方案能够紧扣项目实际情况，内容科学合理； 3、可实施性：切合本项目实际情况，提出步骤清晰、合理的方案； 三、赋分标准（满分 6分） ①团队人员：每完全满足一个评审标准得1分，存在瑕疵得0.5分，最高得3分。 ②责任制度或管理制度每完全满足一个评审标准得1分，存在瑕疵得0.5分，最高得3分。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根据项目实际需求，提供针对本项目的售后服务方案（包含售后服务范围、响应时间、巡检方案等内容）。 二、评审标准 1、完整性：方案必须全面，对评审内容中的各项要求有详细描述； 2、可实施性：切合本项目实际情况，提出步骤清晰、合理的方 案； 3、针对性：方案能够紧扣项目实际情况， 内容科学合理。 三、赋分标准（满分18分） ①售后服务范围：每完全满足一个评审标准得2分，存在瑕疵得1分，最高得6分。 ②响应时间每完全满足一个评审标准得2分，存在瑕疵得1分，最高得6分。 ③巡检方案每完全满足一个评审标准得2分，存在瑕疵得1分，最高得6分。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根据项目实际需求，提供针对本项目的履约能力承诺详细、具体包括资金筹措、仓储设施、运输工具、管理制度等。 二、评审标准 1、完整性：方案必须全面，对评审内容中的各项要求有详细描述； 2、可实施性：切合本项目实际情况，提出步骤清晰、合理的方 案； 3、针对性：方案能够紧扣项目实际情况， 内容科学合理。 三、赋分标准（满分12分） ①资金筹措：每完全满足一个评审标准得1分，存在瑕疵得0.5分，最高得3分。 ②仓储设施每完全满足一个评审标准得1分，存在瑕疵得0.5分，最高得3分。 ③运输工具每完全满足一个评审标准得1分，存在瑕疵得0.5分，最高得3分。 ④管理制度每完全满足一个评审标准得1分，存在瑕疵得0.5分，最高得3分。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一、评审内容 根据项目实际需求，提供针对本项目的可行的组织协调措施及经验，配合采购人和相关处室、部门及群众完成各项工作案例。 二、评审标准 1、适用性：方案必须全面，对评审内容中的各项要求有详细描述； 2、可实施性：切合本项目实际情况，提出步骤清晰、合理的方 案； 3、针对性：方案能够紧扣项目实际情况， 内容科学合理。 三、赋分标准（满分3分） 每完全满足一个评审标准得1分，存在瑕疵得0.5分，最高得3分。 未提供方案或方案存在重大缺陷得0分，瑕疵是指存在不完全满足评审标准的情况，但项目仍可按此方案继续实施，缺陷是指出现影响项目实施的情况。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供应商提供2022年1月1日至今已完成的类似项目业绩（以合同签订时间为准，包含主要内容），每提供一份有效项目的合同计1分，满分5分，不提供不得分。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其中：Pmin：所有有效最后报价的最低价。 Pn：第n个磋商单位的最后报价。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详见附件：商务条款响应偏离表(1).docx</w:t>
      </w:r>
    </w:p>
    <w:p>
      <w:pPr>
        <w:pStyle w:val="null3"/>
        <w:ind w:firstLine="960"/>
      </w:pPr>
      <w:r>
        <w:rPr>
          <w:rFonts w:ascii="仿宋_GB2312" w:hAnsi="仿宋_GB2312" w:cs="仿宋_GB2312" w:eastAsia="仿宋_GB2312"/>
        </w:rPr>
        <w:t>详见附件：投标方案证明材料.docx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