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983DF">
      <w:pPr>
        <w:pStyle w:val="7"/>
        <w:ind w:left="283"/>
        <w:rPr>
          <w:rFonts w:hint="eastAsia" w:ascii="仿宋" w:hAnsi="仿宋" w:eastAsia="仿宋" w:cs="仿宋"/>
          <w:b w:val="0"/>
          <w:bCs w:val="0"/>
        </w:rPr>
      </w:pPr>
      <w:bookmarkStart w:id="0" w:name="_Toc20524"/>
      <w:bookmarkStart w:id="1" w:name="_Toc31045"/>
      <w:bookmarkStart w:id="2" w:name="_Toc21101"/>
      <w:bookmarkStart w:id="3" w:name="_Toc21079"/>
      <w:bookmarkStart w:id="4" w:name="_Toc13676"/>
      <w:bookmarkStart w:id="5" w:name="_Toc27786"/>
      <w:r>
        <w:rPr>
          <w:rFonts w:hint="eastAsia" w:ascii="仿宋" w:hAnsi="仿宋" w:eastAsia="仿宋" w:cs="仿宋"/>
          <w:sz w:val="32"/>
        </w:rPr>
        <w:t xml:space="preserve">第三部分 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sz w:val="32"/>
        </w:rPr>
        <w:t>磋商响应方案</w:t>
      </w:r>
      <w:bookmarkEnd w:id="5"/>
    </w:p>
    <w:p w14:paraId="58E35289">
      <w:pPr>
        <w:pStyle w:val="7"/>
        <w:spacing w:before="0" w:after="0" w:line="560" w:lineRule="exact"/>
        <w:jc w:val="both"/>
        <w:outlineLvl w:val="2"/>
        <w:rPr>
          <w:rFonts w:hint="eastAsia" w:ascii="仿宋" w:hAnsi="仿宋" w:eastAsia="仿宋" w:cs="仿宋"/>
          <w:sz w:val="22"/>
          <w:szCs w:val="22"/>
        </w:rPr>
      </w:pPr>
      <w:bookmarkStart w:id="6" w:name="_Toc5596"/>
      <w:bookmarkStart w:id="7" w:name="_Toc32000"/>
      <w:bookmarkStart w:id="8" w:name="_Toc21184"/>
      <w:bookmarkStart w:id="9" w:name="_Toc5476"/>
      <w:bookmarkStart w:id="10" w:name="_Toc9795"/>
      <w:bookmarkStart w:id="11" w:name="_Toc23944"/>
      <w:bookmarkStart w:id="12" w:name="_Toc17300"/>
      <w:bookmarkStart w:id="13" w:name="_Toc31882"/>
      <w:bookmarkStart w:id="14" w:name="_Toc9535"/>
      <w:bookmarkStart w:id="15" w:name="_Toc30676"/>
      <w:bookmarkStart w:id="16" w:name="_Toc26478"/>
      <w:bookmarkStart w:id="17" w:name="_Toc32512"/>
      <w:bookmarkStart w:id="18" w:name="_Toc7923"/>
      <w:r>
        <w:rPr>
          <w:rFonts w:hint="eastAsia" w:ascii="仿宋" w:hAnsi="仿宋" w:eastAsia="仿宋" w:cs="仿宋"/>
          <w:sz w:val="22"/>
          <w:szCs w:val="22"/>
        </w:rPr>
        <w:t>一、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hint="eastAsia" w:ascii="仿宋" w:hAnsi="仿宋" w:eastAsia="仿宋" w:cs="仿宋"/>
          <w:sz w:val="22"/>
          <w:szCs w:val="22"/>
        </w:rPr>
        <w:t xml:space="preserve">技术服务方案 </w:t>
      </w:r>
    </w:p>
    <w:p w14:paraId="50570842">
      <w:pPr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参照竞争性磋商文件第五章评审方法</w:t>
      </w:r>
      <w:r>
        <w:rPr>
          <w:rFonts w:hint="eastAsia" w:ascii="仿宋" w:hAnsi="仿宋" w:eastAsia="仿宋" w:cs="仿宋"/>
          <w:bCs/>
          <w:sz w:val="22"/>
          <w:szCs w:val="22"/>
        </w:rPr>
        <w:t>四、</w:t>
      </w:r>
      <w:r>
        <w:rPr>
          <w:rFonts w:hint="eastAsia" w:ascii="仿宋" w:hAnsi="仿宋" w:eastAsia="仿宋" w:cs="仿宋"/>
          <w:b/>
          <w:sz w:val="22"/>
          <w:szCs w:val="22"/>
        </w:rPr>
        <w:t>评审标准4.2分值构成与评分标准</w:t>
      </w:r>
      <w:r>
        <w:rPr>
          <w:rFonts w:hint="eastAsia" w:ascii="仿宋" w:hAnsi="仿宋" w:eastAsia="仿宋" w:cs="仿宋"/>
          <w:sz w:val="22"/>
          <w:szCs w:val="22"/>
        </w:rPr>
        <w:t>各条款的要求，结合第四章《采购内容及技术要求》编制响应方案。</w:t>
      </w:r>
    </w:p>
    <w:p w14:paraId="32DED8FD">
      <w:pPr>
        <w:pStyle w:val="8"/>
        <w:spacing w:before="0" w:beforeLines="0"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br w:type="page"/>
      </w:r>
      <w:bookmarkStart w:id="19" w:name="_Toc23301"/>
      <w:r>
        <w:rPr>
          <w:rFonts w:hint="eastAsia" w:ascii="仿宋" w:hAnsi="仿宋" w:eastAsia="仿宋" w:cs="仿宋"/>
          <w:sz w:val="22"/>
          <w:szCs w:val="22"/>
        </w:rPr>
        <w:t>二、供应商认为有利于成交的其他情况说明</w:t>
      </w:r>
      <w:bookmarkEnd w:id="19"/>
    </w:p>
    <w:p w14:paraId="6C60E378">
      <w:pPr>
        <w:pStyle w:val="4"/>
        <w:rPr>
          <w:rFonts w:hint="eastAsia" w:ascii="仿宋" w:hAnsi="仿宋" w:eastAsia="仿宋" w:cs="仿宋"/>
          <w:sz w:val="32"/>
          <w:szCs w:val="40"/>
        </w:rPr>
      </w:pPr>
    </w:p>
    <w:p w14:paraId="7AF38905">
      <w:pPr>
        <w:pStyle w:val="4"/>
        <w:spacing w:after="0" w:line="360" w:lineRule="auto"/>
        <w:rPr>
          <w:rFonts w:hint="eastAsia" w:ascii="仿宋" w:hAnsi="仿宋" w:eastAsia="仿宋" w:cs="仿宋"/>
        </w:rPr>
      </w:pPr>
    </w:p>
    <w:p w14:paraId="6B58F123">
      <w:pPr>
        <w:spacing w:line="720" w:lineRule="auto"/>
      </w:pPr>
    </w:p>
    <w:p w14:paraId="27994319"/>
    <w:p w14:paraId="7285015A">
      <w:pPr>
        <w:spacing w:line="360" w:lineRule="auto"/>
        <w:ind w:firstLine="456" w:firstLineChars="200"/>
        <w:jc w:val="left"/>
        <w:rPr>
          <w:rFonts w:hint="eastAsia" w:ascii="仿宋" w:hAnsi="仿宋" w:eastAsia="仿宋" w:cs="仿宋"/>
          <w:spacing w:val="4"/>
          <w:sz w:val="22"/>
          <w:szCs w:val="22"/>
        </w:rPr>
      </w:pPr>
    </w:p>
    <w:p w14:paraId="1A119CF6"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236AF"/>
    <w:rsid w:val="200B0D98"/>
    <w:rsid w:val="49DB37BB"/>
    <w:rsid w:val="4BF2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7">
    <w:name w:val="标题 2（投标文件）"/>
    <w:basedOn w:val="2"/>
    <w:qFormat/>
    <w:uiPriority w:val="0"/>
    <w:pPr>
      <w:jc w:val="center"/>
    </w:pPr>
  </w:style>
  <w:style w:type="paragraph" w:customStyle="1" w:styleId="8">
    <w:name w:val="标题 3（投标文件）"/>
    <w:basedOn w:val="3"/>
    <w:qFormat/>
    <w:uiPriority w:val="0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2025-11-19T02:51:00Z</dcterms:created>
  <dc:creator>echo</dc:creator>
  <cp:lastModifiedBy>echo</cp:lastModifiedBy>
  <dcterms:modified xsi:type="dcterms:W3CDTF">2025-11-19T02:51:42Z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3549C95F42F94017875179AD44D86A3B_11</vt:lpwstr>
  </property>
  <property fmtid="{D5CDD505-2E9C-101B-9397-08002B2CF9AE}" pid="4" name="KSOTemplateDocerSaveRecord">
    <vt:lpwstr>eyJoZGlkIjoiMTU1MjA4MDE1M2UyNDQ5OTZmNTY2MzZkYzY2NjJiOTQiLCJ1c2VySWQiOiIyNDg2NTg2NDAifQ==</vt:lpwstr>
  </property>
</Properties>
</file>