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2289B">
      <w:pPr>
        <w:keepNext w:val="0"/>
        <w:keepLines w:val="0"/>
        <w:pageBreakBefore w:val="0"/>
        <w:numPr>
          <w:ilvl w:val="0"/>
          <w:numId w:val="0"/>
        </w:numPr>
        <w:kinsoku/>
        <w:wordWrap/>
        <w:overflowPunct/>
        <w:topLinePunct w:val="0"/>
        <w:autoSpaceDE w:val="0"/>
        <w:autoSpaceDN w:val="0"/>
        <w:bidi w:val="0"/>
        <w:adjustRightInd w:val="0"/>
        <w:snapToGrid w:val="0"/>
        <w:spacing w:line="360" w:lineRule="auto"/>
        <w:ind w:firstLine="723" w:firstLineChars="200"/>
        <w:jc w:val="center"/>
        <w:textAlignment w:val="auto"/>
        <w:rPr>
          <w:rFonts w:hint="eastAsia" w:ascii="仿宋" w:hAnsi="仿宋" w:eastAsia="仿宋" w:cs="仿宋"/>
          <w:b/>
          <w:bCs w:val="0"/>
          <w:color w:val="auto"/>
          <w:sz w:val="36"/>
          <w:szCs w:val="36"/>
          <w:highlight w:val="none"/>
          <w:lang w:eastAsia="zh-CN"/>
        </w:rPr>
      </w:pPr>
      <w:r>
        <w:rPr>
          <w:rFonts w:hint="eastAsia" w:ascii="仿宋" w:hAnsi="仿宋" w:eastAsia="仿宋" w:cs="仿宋"/>
          <w:b/>
          <w:bCs w:val="0"/>
          <w:color w:val="auto"/>
          <w:sz w:val="36"/>
          <w:szCs w:val="36"/>
          <w:highlight w:val="none"/>
        </w:rPr>
        <w:t>中国共产党西安市长安区纪律检查委员会“监务通”移动办公平台建</w:t>
      </w:r>
      <w:bookmarkStart w:id="44" w:name="_GoBack"/>
      <w:bookmarkEnd w:id="44"/>
      <w:r>
        <w:rPr>
          <w:rFonts w:hint="eastAsia" w:ascii="仿宋" w:hAnsi="仿宋" w:eastAsia="仿宋" w:cs="仿宋"/>
          <w:b/>
          <w:bCs w:val="0"/>
          <w:color w:val="auto"/>
          <w:sz w:val="36"/>
          <w:szCs w:val="36"/>
          <w:highlight w:val="none"/>
        </w:rPr>
        <w:t>设项目</w:t>
      </w:r>
      <w:r>
        <w:rPr>
          <w:rFonts w:hint="eastAsia" w:ascii="仿宋" w:hAnsi="仿宋" w:eastAsia="仿宋" w:cs="仿宋"/>
          <w:b/>
          <w:bCs w:val="0"/>
          <w:color w:val="auto"/>
          <w:sz w:val="36"/>
          <w:szCs w:val="36"/>
          <w:highlight w:val="none"/>
          <w:lang w:eastAsia="zh-CN"/>
        </w:rPr>
        <w:t>合同</w:t>
      </w:r>
    </w:p>
    <w:p w14:paraId="2CA4D447">
      <w:pPr>
        <w:keepNext w:val="0"/>
        <w:keepLines w:val="0"/>
        <w:pageBreakBefore w:val="0"/>
        <w:numPr>
          <w:ilvl w:val="0"/>
          <w:numId w:val="0"/>
        </w:numPr>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中国共产党西安市长安区纪律检查委员会  </w:t>
      </w:r>
    </w:p>
    <w:p w14:paraId="07C92F4A">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乙方（成交供应商）：</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rPr>
        <w:t xml:space="preserve">            </w:t>
      </w:r>
      <w:r>
        <w:rPr>
          <w:rFonts w:hint="eastAsia" w:ascii="仿宋" w:hAnsi="仿宋" w:eastAsia="仿宋" w:cs="仿宋"/>
          <w:bCs/>
          <w:color w:val="auto"/>
          <w:sz w:val="24"/>
          <w:szCs w:val="24"/>
          <w:highlight w:val="none"/>
        </w:rPr>
        <w:t xml:space="preserve"> </w:t>
      </w:r>
    </w:p>
    <w:p w14:paraId="179B0EDF">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》和《中华人民共和国政府采购法》之规定，经双方在平等、自愿、互利的基础上，签订本合同，共同信守。</w:t>
      </w:r>
    </w:p>
    <w:p w14:paraId="6DD5F4C9">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rPr>
        <w:t>一、供货条件</w:t>
      </w:r>
    </w:p>
    <w:p w14:paraId="66D3236E">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0" w:name="_Toc16063"/>
      <w:r>
        <w:rPr>
          <w:rFonts w:hint="eastAsia" w:ascii="仿宋" w:hAnsi="仿宋" w:eastAsia="仿宋" w:cs="仿宋"/>
          <w:b w:val="0"/>
          <w:bCs/>
          <w:sz w:val="24"/>
          <w:szCs w:val="24"/>
          <w:highlight w:val="none"/>
          <w:lang w:val="en-US" w:eastAsia="zh-CN"/>
        </w:rPr>
        <w:t>（一）服务地点：采购人指定地点</w:t>
      </w:r>
      <w:bookmarkEnd w:id="0"/>
    </w:p>
    <w:p w14:paraId="4F2B5F3E">
      <w:pPr>
        <w:pStyle w:val="13"/>
        <w:numPr>
          <w:ilvl w:val="0"/>
          <w:numId w:val="0"/>
        </w:numPr>
        <w:spacing w:line="360" w:lineRule="auto"/>
        <w:ind w:firstLine="480" w:firstLineChars="200"/>
        <w:rPr>
          <w:rFonts w:hint="eastAsia" w:ascii="仿宋" w:hAnsi="仿宋" w:eastAsia="仿宋" w:cs="仿宋"/>
          <w:b/>
          <w:bCs/>
          <w:sz w:val="24"/>
          <w:szCs w:val="24"/>
          <w:highlight w:val="none"/>
        </w:rPr>
      </w:pPr>
      <w:bookmarkStart w:id="1" w:name="_Toc13082"/>
      <w:r>
        <w:rPr>
          <w:rFonts w:hint="eastAsia" w:ascii="仿宋" w:hAnsi="仿宋" w:eastAsia="仿宋" w:cs="仿宋"/>
          <w:b w:val="0"/>
          <w:bCs w:val="0"/>
          <w:color w:val="auto"/>
          <w:kern w:val="0"/>
          <w:sz w:val="24"/>
          <w:szCs w:val="24"/>
          <w:highlight w:val="none"/>
          <w:lang w:val="en-US" w:eastAsia="zh-CN" w:bidi="ar-SA"/>
        </w:rPr>
        <w:t>（二）运维期限：</w:t>
      </w:r>
      <w:bookmarkEnd w:id="1"/>
      <w:r>
        <w:rPr>
          <w:rFonts w:hint="eastAsia" w:ascii="仿宋" w:hAnsi="仿宋" w:eastAsia="仿宋" w:cs="仿宋"/>
          <w:b w:val="0"/>
          <w:bCs w:val="0"/>
          <w:color w:val="auto"/>
          <w:kern w:val="0"/>
          <w:sz w:val="24"/>
          <w:szCs w:val="24"/>
          <w:highlight w:val="none"/>
          <w:lang w:val="en-US" w:eastAsia="zh-CN" w:bidi="ar-SA"/>
        </w:rPr>
        <w:t>合同签订之日起2年</w:t>
      </w:r>
    </w:p>
    <w:p w14:paraId="6468065B">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rPr>
        <w:t>二、合同价款</w:t>
      </w:r>
    </w:p>
    <w:p w14:paraId="30836ACA">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2" w:name="_Toc4298"/>
      <w:r>
        <w:rPr>
          <w:rFonts w:hint="eastAsia" w:ascii="仿宋" w:hAnsi="仿宋" w:eastAsia="仿宋" w:cs="仿宋"/>
          <w:b w:val="0"/>
          <w:bCs/>
          <w:sz w:val="24"/>
          <w:szCs w:val="24"/>
          <w:highlight w:val="none"/>
          <w:lang w:val="en-US" w:eastAsia="zh-CN"/>
        </w:rPr>
        <w:t>合同总价：</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none"/>
          <w:lang w:val="en-US" w:eastAsia="zh-CN"/>
        </w:rPr>
        <w:t>元</w:t>
      </w:r>
      <w:r>
        <w:rPr>
          <w:rFonts w:hint="eastAsia" w:ascii="仿宋" w:hAnsi="仿宋" w:eastAsia="仿宋" w:cs="仿宋"/>
          <w:b w:val="0"/>
          <w:bCs/>
          <w:sz w:val="24"/>
          <w:szCs w:val="24"/>
          <w:highlight w:val="none"/>
          <w:lang w:val="en-US" w:eastAsia="zh-CN"/>
        </w:rPr>
        <w:t>（包含本项目所采购所有内容）一次性包死。</w:t>
      </w:r>
      <w:bookmarkEnd w:id="2"/>
    </w:p>
    <w:p w14:paraId="12E086B0">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rPr>
        <w:t>三、款项结算</w:t>
      </w:r>
    </w:p>
    <w:p w14:paraId="0A817374">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3" w:name="_Toc12415"/>
      <w:r>
        <w:rPr>
          <w:rFonts w:hint="eastAsia" w:ascii="仿宋" w:hAnsi="仿宋" w:eastAsia="仿宋" w:cs="仿宋"/>
          <w:b w:val="0"/>
          <w:bCs/>
          <w:sz w:val="24"/>
          <w:szCs w:val="24"/>
          <w:highlight w:val="none"/>
          <w:lang w:val="en-US" w:eastAsia="zh-CN"/>
        </w:rPr>
        <w:t>（一）支付方式：银行转账</w:t>
      </w:r>
      <w:bookmarkEnd w:id="3"/>
    </w:p>
    <w:p w14:paraId="2CAE5F89">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4" w:name="_Toc29055"/>
      <w:r>
        <w:rPr>
          <w:rFonts w:hint="eastAsia" w:ascii="仿宋" w:hAnsi="仿宋" w:eastAsia="仿宋" w:cs="仿宋"/>
          <w:b w:val="0"/>
          <w:bCs/>
          <w:sz w:val="24"/>
          <w:szCs w:val="24"/>
          <w:highlight w:val="none"/>
          <w:lang w:val="en-US" w:eastAsia="zh-CN"/>
        </w:rPr>
        <w:t>（二）货币单位：人民币</w:t>
      </w:r>
      <w:bookmarkEnd w:id="4"/>
    </w:p>
    <w:p w14:paraId="07D240AD">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5" w:name="_Toc17944"/>
      <w:r>
        <w:rPr>
          <w:rFonts w:hint="eastAsia" w:ascii="仿宋" w:hAnsi="仿宋" w:eastAsia="仿宋" w:cs="仿宋"/>
          <w:b w:val="0"/>
          <w:bCs/>
          <w:sz w:val="24"/>
          <w:szCs w:val="24"/>
          <w:highlight w:val="none"/>
          <w:lang w:val="en-US" w:eastAsia="zh-CN"/>
        </w:rPr>
        <w:t>（三）结算方式：均采用银行转账方式</w:t>
      </w:r>
      <w:bookmarkEnd w:id="5"/>
      <w:r>
        <w:rPr>
          <w:rFonts w:hint="eastAsia" w:ascii="仿宋" w:hAnsi="仿宋" w:eastAsia="仿宋" w:cs="仿宋"/>
          <w:b w:val="0"/>
          <w:bCs/>
          <w:sz w:val="24"/>
          <w:szCs w:val="24"/>
          <w:highlight w:val="none"/>
          <w:lang w:val="en-US" w:eastAsia="zh-CN"/>
        </w:rPr>
        <w:t>。</w:t>
      </w:r>
    </w:p>
    <w:p w14:paraId="44B495F7">
      <w:pPr>
        <w:pStyle w:val="27"/>
        <w:spacing w:before="0" w:after="0" w:line="360" w:lineRule="auto"/>
        <w:ind w:firstLine="480" w:firstLineChars="200"/>
        <w:jc w:val="both"/>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sz w:val="24"/>
          <w:szCs w:val="24"/>
          <w:highlight w:val="none"/>
          <w:lang w:val="en-US" w:eastAsia="zh-CN"/>
        </w:rPr>
        <w:t>合同签订生效后并完成验收交付且拿到验收报告30个工作日内支付95%，余款5%在首次</w:t>
      </w:r>
      <w:r>
        <w:rPr>
          <w:rFonts w:hint="eastAsia" w:ascii="仿宋" w:hAnsi="仿宋" w:eastAsia="仿宋" w:cs="仿宋"/>
          <w:b w:val="0"/>
          <w:bCs w:val="0"/>
          <w:sz w:val="24"/>
          <w:szCs w:val="24"/>
          <w:highlight w:val="none"/>
          <w:lang w:val="en-US" w:eastAsia="zh-CN"/>
        </w:rPr>
        <w:t>付款30个日历日内一次性不计息付清。</w:t>
      </w:r>
    </w:p>
    <w:p w14:paraId="7E9214D2">
      <w:pPr>
        <w:pStyle w:val="27"/>
        <w:spacing w:before="0" w:after="0" w:line="360" w:lineRule="auto"/>
        <w:ind w:firstLine="480" w:firstLineChars="200"/>
        <w:jc w:val="both"/>
        <w:outlineLvl w:val="9"/>
        <w:rPr>
          <w:rFonts w:hint="eastAsia" w:ascii="仿宋" w:hAnsi="仿宋" w:eastAsia="仿宋" w:cs="仿宋"/>
          <w:b w:val="0"/>
          <w:bCs w:val="0"/>
          <w:sz w:val="24"/>
          <w:szCs w:val="24"/>
          <w:highlight w:val="none"/>
          <w:lang w:val="en-US" w:eastAsia="zh-CN"/>
        </w:rPr>
      </w:pPr>
      <w:bookmarkStart w:id="6" w:name="_Toc22963"/>
      <w:r>
        <w:rPr>
          <w:rFonts w:hint="eastAsia" w:ascii="仿宋" w:hAnsi="仿宋" w:eastAsia="仿宋" w:cs="仿宋"/>
          <w:b w:val="0"/>
          <w:bCs w:val="0"/>
          <w:sz w:val="24"/>
          <w:szCs w:val="24"/>
          <w:highlight w:val="none"/>
          <w:lang w:val="en-US" w:eastAsia="zh-CN"/>
        </w:rPr>
        <w:t>（四）验收</w:t>
      </w:r>
      <w:bookmarkEnd w:id="6"/>
      <w:r>
        <w:rPr>
          <w:rFonts w:hint="eastAsia" w:ascii="仿宋" w:hAnsi="仿宋" w:eastAsia="仿宋" w:cs="仿宋"/>
          <w:b w:val="0"/>
          <w:bCs w:val="0"/>
          <w:sz w:val="24"/>
          <w:szCs w:val="24"/>
          <w:highlight w:val="none"/>
          <w:lang w:val="en-US" w:eastAsia="zh-CN"/>
        </w:rPr>
        <w:t>：本次项目系统集成完成后，乙方向甲方书面提出验收报告，甲方应在乙方提交验收申请报告之日起一周内组织验收。甲方逾期未组织验收的，视为验收合格。符合国家现行的信息安全技术标准。</w:t>
      </w:r>
    </w:p>
    <w:p w14:paraId="38E41B4B">
      <w:pPr>
        <w:spacing w:before="85" w:line="360" w:lineRule="auto"/>
        <w:ind w:left="43"/>
        <w:outlineLvl w:val="9"/>
        <w:rPr>
          <w:rFonts w:hint="eastAsia" w:ascii="仿宋" w:hAnsi="仿宋" w:eastAsia="仿宋" w:cs="仿宋"/>
          <w:sz w:val="26"/>
          <w:szCs w:val="26"/>
          <w:highlight w:val="none"/>
        </w:rPr>
      </w:pPr>
      <w:r>
        <w:rPr>
          <w:rFonts w:hint="eastAsia" w:ascii="仿宋" w:hAnsi="仿宋" w:eastAsia="仿宋" w:cs="仿宋"/>
          <w:b/>
          <w:bCs/>
          <w:kern w:val="2"/>
          <w:sz w:val="24"/>
          <w:szCs w:val="24"/>
          <w:highlight w:val="none"/>
          <w:lang w:val="en-US" w:eastAsia="zh-CN" w:bidi="ar-SA"/>
        </w:rPr>
        <w:t>四、</w:t>
      </w:r>
      <w:r>
        <w:rPr>
          <w:rFonts w:hint="eastAsia" w:ascii="仿宋" w:hAnsi="仿宋" w:eastAsia="仿宋" w:cs="仿宋"/>
          <w:spacing w:val="6"/>
          <w:sz w:val="26"/>
          <w:szCs w:val="26"/>
          <w:highlight w:val="none"/>
        </w:rPr>
        <w:t xml:space="preserve"> </w:t>
      </w:r>
      <w:r>
        <w:rPr>
          <w:rFonts w:hint="eastAsia" w:ascii="仿宋" w:hAnsi="仿宋" w:eastAsia="仿宋" w:cs="仿宋"/>
          <w:b/>
          <w:bCs/>
          <w:spacing w:val="6"/>
          <w:sz w:val="26"/>
          <w:szCs w:val="26"/>
          <w:highlight w:val="none"/>
        </w:rPr>
        <w:t>双方的权利和义务</w:t>
      </w:r>
    </w:p>
    <w:p w14:paraId="4F307F84">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1、甲方的权利与义务</w:t>
      </w:r>
    </w:p>
    <w:p w14:paraId="1C2D9B5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仿宋" w:hAnsi="仿宋" w:eastAsia="仿宋" w:cs="仿宋"/>
          <w:b w:val="0"/>
          <w:bCs w:val="0"/>
          <w:kern w:val="0"/>
          <w:sz w:val="24"/>
          <w:szCs w:val="24"/>
          <w:highlight w:val="none"/>
          <w:lang w:val="en-US" w:eastAsia="zh-CN" w:bidi="ar-SA"/>
        </w:rPr>
      </w:pPr>
      <w:r>
        <w:rPr>
          <w:rFonts w:hint="eastAsia" w:ascii="仿宋" w:hAnsi="仿宋" w:eastAsia="仿宋" w:cs="仿宋"/>
          <w:b w:val="0"/>
          <w:bCs w:val="0"/>
          <w:kern w:val="0"/>
          <w:sz w:val="24"/>
          <w:szCs w:val="24"/>
          <w:highlight w:val="none"/>
          <w:lang w:val="en-US" w:eastAsia="zh-CN" w:bidi="ar-SA"/>
        </w:rPr>
        <w:t>1.1甲方按本合同要求按时支付乙方“监务通”移动办公平台建设项目服务费用 。</w:t>
      </w:r>
    </w:p>
    <w:p w14:paraId="41CAAA2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仿宋" w:hAnsi="仿宋" w:eastAsia="仿宋" w:cs="仿宋"/>
          <w:b w:val="0"/>
          <w:bCs w:val="0"/>
          <w:kern w:val="0"/>
          <w:sz w:val="24"/>
          <w:szCs w:val="24"/>
          <w:highlight w:val="none"/>
          <w:lang w:val="en-US" w:eastAsia="zh-CN" w:bidi="ar-SA"/>
        </w:rPr>
      </w:pPr>
      <w:r>
        <w:rPr>
          <w:rFonts w:hint="eastAsia" w:ascii="仿宋" w:hAnsi="仿宋" w:eastAsia="仿宋" w:cs="仿宋"/>
          <w:b w:val="0"/>
          <w:bCs w:val="0"/>
          <w:kern w:val="0"/>
          <w:sz w:val="24"/>
          <w:szCs w:val="24"/>
          <w:highlight w:val="none"/>
          <w:lang w:val="en-US" w:eastAsia="zh-CN" w:bidi="ar-SA"/>
        </w:rPr>
        <w:t>1.2甲方指定专人负责就服务实施同乙方进行联络；甲方向乙方提出项目建设及运行的相关要求。</w:t>
      </w:r>
    </w:p>
    <w:p w14:paraId="431F4A6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仿宋" w:hAnsi="仿宋" w:eastAsia="仿宋" w:cs="仿宋"/>
          <w:b w:val="0"/>
          <w:bCs w:val="0"/>
          <w:kern w:val="0"/>
          <w:sz w:val="24"/>
          <w:szCs w:val="24"/>
          <w:highlight w:val="none"/>
          <w:lang w:val="en-US" w:eastAsia="zh-CN" w:bidi="ar-SA"/>
        </w:rPr>
      </w:pPr>
      <w:r>
        <w:rPr>
          <w:rFonts w:hint="eastAsia" w:ascii="仿宋" w:hAnsi="仿宋" w:eastAsia="仿宋" w:cs="仿宋"/>
          <w:b w:val="0"/>
          <w:bCs w:val="0"/>
          <w:kern w:val="0"/>
          <w:sz w:val="24"/>
          <w:szCs w:val="24"/>
          <w:highlight w:val="none"/>
          <w:lang w:val="en-US" w:eastAsia="zh-CN" w:bidi="ar-SA"/>
        </w:rPr>
        <w:t>1.3由于甲方或第三方人员对设备进行下列操作(人为损坏；擅自拆装设备、维修；进行危险性更改装置等)造成的损坏，由甲方承担全部费用及责任。</w:t>
      </w:r>
    </w:p>
    <w:p w14:paraId="0E506ACC">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2、乙方的权利与义务</w:t>
      </w:r>
    </w:p>
    <w:p w14:paraId="6C3ADE9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仿宋" w:hAnsi="仿宋" w:eastAsia="仿宋" w:cs="仿宋"/>
          <w:b w:val="0"/>
          <w:bCs w:val="0"/>
          <w:kern w:val="0"/>
          <w:sz w:val="24"/>
          <w:szCs w:val="24"/>
          <w:highlight w:val="none"/>
          <w:lang w:val="en-US" w:eastAsia="zh-CN" w:bidi="ar-SA"/>
        </w:rPr>
      </w:pPr>
      <w:r>
        <w:rPr>
          <w:rFonts w:hint="eastAsia" w:ascii="仿宋" w:hAnsi="仿宋" w:eastAsia="仿宋" w:cs="仿宋"/>
          <w:b w:val="0"/>
          <w:bCs w:val="0"/>
          <w:kern w:val="0"/>
          <w:sz w:val="24"/>
          <w:szCs w:val="24"/>
          <w:highlight w:val="none"/>
          <w:lang w:val="en-US" w:eastAsia="zh-CN" w:bidi="ar-SA"/>
        </w:rPr>
        <w:t>2.1 乙方应完全实施本合同所约定的服务条款。</w:t>
      </w:r>
    </w:p>
    <w:p w14:paraId="77DFFE3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仿宋" w:hAnsi="仿宋" w:eastAsia="仿宋" w:cs="仿宋"/>
          <w:b w:val="0"/>
          <w:bCs w:val="0"/>
          <w:kern w:val="0"/>
          <w:sz w:val="24"/>
          <w:szCs w:val="24"/>
          <w:highlight w:val="none"/>
          <w:lang w:val="en-US" w:eastAsia="zh-CN" w:bidi="ar-SA"/>
        </w:rPr>
      </w:pPr>
      <w:r>
        <w:rPr>
          <w:rFonts w:hint="eastAsia" w:ascii="仿宋" w:hAnsi="仿宋" w:eastAsia="仿宋" w:cs="仿宋"/>
          <w:b w:val="0"/>
          <w:bCs w:val="0"/>
          <w:kern w:val="0"/>
          <w:sz w:val="24"/>
          <w:szCs w:val="24"/>
          <w:highlight w:val="none"/>
          <w:lang w:val="en-US" w:eastAsia="zh-CN" w:bidi="ar-SA"/>
        </w:rPr>
        <w:t>2.2对于存在质量问题或者缺少的合同内约定的所有内容，乙方应在接到甲方通知后5个工作日内负责修复，调换、重新制作或补齐。</w:t>
      </w:r>
    </w:p>
    <w:p w14:paraId="4C3321E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仿宋" w:hAnsi="仿宋" w:eastAsia="仿宋" w:cs="仿宋"/>
          <w:b w:val="0"/>
          <w:bCs w:val="0"/>
          <w:kern w:val="0"/>
          <w:sz w:val="24"/>
          <w:szCs w:val="24"/>
          <w:highlight w:val="none"/>
          <w:lang w:val="en-US" w:eastAsia="zh-CN" w:bidi="ar-SA"/>
        </w:rPr>
      </w:pPr>
      <w:r>
        <w:rPr>
          <w:rFonts w:hint="eastAsia" w:ascii="仿宋" w:hAnsi="仿宋" w:eastAsia="仿宋" w:cs="仿宋"/>
          <w:b w:val="0"/>
          <w:bCs w:val="0"/>
          <w:kern w:val="0"/>
          <w:sz w:val="24"/>
          <w:szCs w:val="24"/>
          <w:highlight w:val="none"/>
          <w:lang w:val="en-US" w:eastAsia="zh-CN" w:bidi="ar-SA"/>
        </w:rPr>
        <w:t>2.3 乙方确保按照合同约定时限完成项目交付并投入使用。</w:t>
      </w:r>
    </w:p>
    <w:p w14:paraId="1F81C51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eastAsia" w:ascii="仿宋" w:hAnsi="仿宋" w:eastAsia="仿宋" w:cs="仿宋"/>
          <w:b w:val="0"/>
          <w:bCs w:val="0"/>
          <w:kern w:val="0"/>
          <w:sz w:val="24"/>
          <w:szCs w:val="24"/>
          <w:highlight w:val="none"/>
          <w:lang w:val="en-US" w:eastAsia="zh-CN" w:bidi="ar-SA"/>
        </w:rPr>
      </w:pPr>
      <w:r>
        <w:rPr>
          <w:rFonts w:hint="eastAsia" w:ascii="仿宋" w:hAnsi="仿宋" w:eastAsia="仿宋" w:cs="仿宋"/>
          <w:b w:val="0"/>
          <w:bCs w:val="0"/>
          <w:kern w:val="0"/>
          <w:sz w:val="24"/>
          <w:szCs w:val="24"/>
          <w:highlight w:val="none"/>
          <w:lang w:val="en-US" w:eastAsia="zh-CN" w:bidi="ar-SA"/>
        </w:rPr>
        <w:t>2.4服务期满后，如果未就续签达成一致，乙方有权停止现场服务、电话支持、远程支持等服务。</w:t>
      </w:r>
    </w:p>
    <w:p w14:paraId="7235DBCC">
      <w:pPr>
        <w:pStyle w:val="27"/>
        <w:spacing w:before="0" w:after="0" w:line="360" w:lineRule="auto"/>
        <w:ind w:firstLine="482" w:firstLineChars="200"/>
        <w:jc w:val="both"/>
        <w:outlineLvl w:val="9"/>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五、保密条款</w:t>
      </w:r>
    </w:p>
    <w:p w14:paraId="0D1C83CD">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7" w:name="_Toc8734"/>
      <w:r>
        <w:rPr>
          <w:rFonts w:hint="eastAsia" w:ascii="仿宋" w:hAnsi="仿宋" w:eastAsia="仿宋" w:cs="仿宋"/>
          <w:b w:val="0"/>
          <w:bCs/>
          <w:sz w:val="24"/>
          <w:szCs w:val="24"/>
          <w:highlight w:val="none"/>
          <w:lang w:val="en-US" w:eastAsia="zh-CN"/>
        </w:rPr>
        <w:t>1、甲方和乙方应对在本合同签订或履行过程中所接触的对方信息，包括但不限于知识产权、技术资料、技术诀窍、内部管理及其他相关信息，负有保密义务。</w:t>
      </w:r>
      <w:bookmarkEnd w:id="7"/>
    </w:p>
    <w:p w14:paraId="59E3B731">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8" w:name="_Toc22747"/>
      <w:r>
        <w:rPr>
          <w:rFonts w:hint="eastAsia" w:ascii="仿宋" w:hAnsi="仿宋" w:eastAsia="仿宋" w:cs="仿宋"/>
          <w:b w:val="0"/>
          <w:bCs/>
          <w:sz w:val="24"/>
          <w:szCs w:val="24"/>
          <w:highlight w:val="none"/>
          <w:lang w:val="en-US" w:eastAsia="zh-CN"/>
        </w:rPr>
        <w:t>2、乙方在使用甲方为其工作人员提供的数据、程序、用户名、口令、资料及甲方相关的业务和技术文档，包括税收政策、方案设计细节、程序文件、数据结构，以及相关业务系统的硬软件、文档、测试和测试产生的数据时，应遵循以下规定：</w:t>
      </w:r>
      <w:bookmarkEnd w:id="8"/>
    </w:p>
    <w:p w14:paraId="5545AD83">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9" w:name="_Toc30612"/>
      <w:r>
        <w:rPr>
          <w:rFonts w:hint="eastAsia" w:ascii="仿宋" w:hAnsi="仿宋" w:eastAsia="仿宋" w:cs="仿宋"/>
          <w:b w:val="0"/>
          <w:bCs/>
          <w:sz w:val="24"/>
          <w:szCs w:val="24"/>
          <w:highlight w:val="none"/>
          <w:lang w:val="en-US" w:eastAsia="zh-CN"/>
        </w:rPr>
        <w:t>（1）应以审慎态度避免泄露、公开或传播甲方的信息；</w:t>
      </w:r>
      <w:bookmarkEnd w:id="9"/>
    </w:p>
    <w:p w14:paraId="162347F9">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0" w:name="_Toc14793"/>
      <w:r>
        <w:rPr>
          <w:rFonts w:hint="eastAsia" w:ascii="仿宋" w:hAnsi="仿宋" w:eastAsia="仿宋" w:cs="仿宋"/>
          <w:b w:val="0"/>
          <w:bCs/>
          <w:sz w:val="24"/>
          <w:szCs w:val="24"/>
          <w:highlight w:val="none"/>
          <w:lang w:val="en-US" w:eastAsia="zh-CN"/>
        </w:rPr>
        <w:t>（2）未经甲方书面许可，不得对有关信息进行修改、补充、复制；</w:t>
      </w:r>
      <w:bookmarkEnd w:id="10"/>
    </w:p>
    <w:p w14:paraId="65B524AF">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1" w:name="_Toc8827"/>
      <w:r>
        <w:rPr>
          <w:rFonts w:hint="eastAsia" w:ascii="仿宋" w:hAnsi="仿宋" w:eastAsia="仿宋" w:cs="仿宋"/>
          <w:b w:val="0"/>
          <w:bCs/>
          <w:sz w:val="24"/>
          <w:szCs w:val="24"/>
          <w:highlight w:val="none"/>
          <w:lang w:val="en-US" w:eastAsia="zh-CN"/>
        </w:rPr>
        <w:t>（3）未经甲方书面许可，不得将信息以任何方式（如E－mail）携带出甲方场所；</w:t>
      </w:r>
      <w:bookmarkEnd w:id="11"/>
    </w:p>
    <w:p w14:paraId="0935E878">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2" w:name="_Toc31524"/>
      <w:r>
        <w:rPr>
          <w:rFonts w:hint="eastAsia" w:ascii="仿宋" w:hAnsi="仿宋" w:eastAsia="仿宋" w:cs="仿宋"/>
          <w:b w:val="0"/>
          <w:bCs/>
          <w:sz w:val="24"/>
          <w:szCs w:val="24"/>
          <w:highlight w:val="none"/>
          <w:lang w:val="en-US" w:eastAsia="zh-CN"/>
        </w:rPr>
        <w:t>（4）未经甲方书面许可，不得将信息透露给任何其他人；</w:t>
      </w:r>
      <w:bookmarkEnd w:id="12"/>
    </w:p>
    <w:p w14:paraId="4D5079C6">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3" w:name="_Toc5852"/>
      <w:r>
        <w:rPr>
          <w:rFonts w:hint="eastAsia" w:ascii="仿宋" w:hAnsi="仿宋" w:eastAsia="仿宋" w:cs="仿宋"/>
          <w:b w:val="0"/>
          <w:bCs/>
          <w:sz w:val="24"/>
          <w:szCs w:val="24"/>
          <w:highlight w:val="none"/>
          <w:lang w:val="en-US" w:eastAsia="zh-CN"/>
        </w:rPr>
        <w:t>（5）甲方以书面形式提出的其他保密措施。</w:t>
      </w:r>
      <w:bookmarkEnd w:id="13"/>
    </w:p>
    <w:p w14:paraId="48DCF1AB">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4" w:name="_Toc30922"/>
      <w:r>
        <w:rPr>
          <w:rFonts w:hint="eastAsia" w:ascii="仿宋" w:hAnsi="仿宋" w:eastAsia="仿宋" w:cs="仿宋"/>
          <w:b w:val="0"/>
          <w:bCs/>
          <w:sz w:val="24"/>
          <w:szCs w:val="24"/>
          <w:highlight w:val="none"/>
          <w:lang w:val="en-US" w:eastAsia="zh-CN"/>
        </w:rPr>
        <w:t>3、保密范围</w:t>
      </w:r>
      <w:bookmarkEnd w:id="14"/>
    </w:p>
    <w:p w14:paraId="6B5D28A5">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5" w:name="_Toc307"/>
      <w:r>
        <w:rPr>
          <w:rFonts w:hint="eastAsia" w:ascii="仿宋" w:hAnsi="仿宋" w:eastAsia="仿宋" w:cs="仿宋"/>
          <w:b w:val="0"/>
          <w:bCs/>
          <w:sz w:val="24"/>
          <w:szCs w:val="24"/>
          <w:highlight w:val="none"/>
          <w:lang w:val="en-US" w:eastAsia="zh-CN"/>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bookmarkEnd w:id="15"/>
    </w:p>
    <w:p w14:paraId="1A9DE55D">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16" w:name="_Toc13585"/>
      <w:r>
        <w:rPr>
          <w:rFonts w:hint="eastAsia" w:ascii="仿宋" w:hAnsi="仿宋" w:eastAsia="仿宋" w:cs="仿宋"/>
          <w:b w:val="0"/>
          <w:bCs/>
          <w:sz w:val="24"/>
          <w:szCs w:val="24"/>
          <w:highlight w:val="none"/>
          <w:lang w:val="en-US" w:eastAsia="zh-CN"/>
        </w:rPr>
        <w:t>（2）乙方在履行合同过程中所获得或接触到的来源于甲方的其他数据资料，未经甲方书面同意，不得向本合同以外的第三方透露。</w:t>
      </w:r>
      <w:bookmarkEnd w:id="16"/>
    </w:p>
    <w:p w14:paraId="1C6F6826">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7" w:name="_Toc27418"/>
      <w:r>
        <w:rPr>
          <w:rFonts w:hint="eastAsia" w:ascii="仿宋" w:hAnsi="仿宋" w:eastAsia="仿宋" w:cs="仿宋"/>
          <w:b w:val="0"/>
          <w:bCs/>
          <w:sz w:val="24"/>
          <w:szCs w:val="24"/>
          <w:highlight w:val="none"/>
          <w:lang w:val="en-US" w:eastAsia="zh-CN"/>
        </w:rPr>
        <w:t>（3）乙方在未征得甲方书面同意的情况下，不得为任何其它目的而自行使用或允许他人使用从甲方获得的信息（包括但不限于所有的报告、摘录、纪要、文件、计划、报表、复印件和业务数据等）。</w:t>
      </w:r>
      <w:bookmarkEnd w:id="17"/>
    </w:p>
    <w:p w14:paraId="7D640786">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8" w:name="_Toc26948"/>
      <w:r>
        <w:rPr>
          <w:rFonts w:hint="eastAsia" w:ascii="仿宋" w:hAnsi="仿宋" w:eastAsia="仿宋" w:cs="仿宋"/>
          <w:b w:val="0"/>
          <w:bCs/>
          <w:sz w:val="24"/>
          <w:szCs w:val="24"/>
          <w:highlight w:val="none"/>
          <w:lang w:val="en-US" w:eastAsia="zh-CN"/>
        </w:rPr>
        <w:t>（4）乙方需与参加本项目的人员签订保密协议，并禁止接触保密信息的人员将本项目的任何资料传播给项目外人员。</w:t>
      </w:r>
      <w:bookmarkEnd w:id="18"/>
    </w:p>
    <w:p w14:paraId="402838DA">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19" w:name="_Toc3687"/>
      <w:r>
        <w:rPr>
          <w:rFonts w:hint="eastAsia" w:ascii="仿宋" w:hAnsi="仿宋" w:eastAsia="仿宋" w:cs="仿宋"/>
          <w:b w:val="0"/>
          <w:bCs/>
          <w:sz w:val="24"/>
          <w:szCs w:val="24"/>
          <w:highlight w:val="none"/>
          <w:lang w:val="en-US" w:eastAsia="zh-CN"/>
        </w:rPr>
        <w:t>（5）如果乙方违反本条款的规定，甲方有权解除本合同并要求乙方赔偿甲方因此遭受的损失，该赔偿的金额不低于合同总额的10%。触犯保密法律法规的情况由乙方独自承担相应法律责任。</w:t>
      </w:r>
      <w:bookmarkEnd w:id="19"/>
    </w:p>
    <w:p w14:paraId="7A33AB2D">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20" w:name="_Toc32462"/>
      <w:r>
        <w:rPr>
          <w:rFonts w:hint="eastAsia" w:ascii="仿宋" w:hAnsi="仿宋" w:eastAsia="仿宋" w:cs="仿宋"/>
          <w:b w:val="0"/>
          <w:bCs/>
          <w:sz w:val="24"/>
          <w:szCs w:val="24"/>
          <w:highlight w:val="none"/>
          <w:lang w:val="en-US" w:eastAsia="zh-CN"/>
        </w:rPr>
        <w:t>（6）乙方认为的甲方和乙方商业秘密需要乙方事先向甲方书面声明。</w:t>
      </w:r>
      <w:bookmarkEnd w:id="20"/>
    </w:p>
    <w:p w14:paraId="43F76242">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21" w:name="_Toc4631"/>
      <w:r>
        <w:rPr>
          <w:rFonts w:hint="eastAsia" w:ascii="仿宋" w:hAnsi="仿宋" w:eastAsia="仿宋" w:cs="仿宋"/>
          <w:b w:val="0"/>
          <w:bCs/>
          <w:sz w:val="24"/>
          <w:szCs w:val="24"/>
          <w:highlight w:val="none"/>
          <w:lang w:val="en-US" w:eastAsia="zh-CN"/>
        </w:rPr>
        <w:t>4、保密期限不受合同有效期的限制，在合同有效期结束后，信息接受方仍应承担保密义务，直至该信息成为公开信息。</w:t>
      </w:r>
      <w:bookmarkEnd w:id="21"/>
    </w:p>
    <w:p w14:paraId="11B45131">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22" w:name="_Toc24303"/>
      <w:r>
        <w:rPr>
          <w:rFonts w:hint="eastAsia" w:ascii="仿宋" w:hAnsi="仿宋" w:eastAsia="仿宋" w:cs="仿宋"/>
          <w:b w:val="0"/>
          <w:bCs/>
          <w:sz w:val="24"/>
          <w:szCs w:val="24"/>
          <w:highlight w:val="none"/>
          <w:lang w:val="en-US" w:eastAsia="zh-CN"/>
        </w:rPr>
        <w:t>5、甲方和乙方如出现泄密行为，泄密方应承担相关的法律责任，包括但不限于对由此给对方造成的经济损失进行赔偿。</w:t>
      </w:r>
      <w:bookmarkEnd w:id="22"/>
    </w:p>
    <w:p w14:paraId="7FB4EA89">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lang w:eastAsia="zh-CN"/>
        </w:rPr>
        <w:t>六</w:t>
      </w:r>
      <w:r>
        <w:rPr>
          <w:rFonts w:hint="eastAsia" w:ascii="仿宋" w:hAnsi="仿宋" w:eastAsia="仿宋" w:cs="仿宋"/>
          <w:b/>
          <w:bCs/>
          <w:sz w:val="24"/>
          <w:highlight w:val="none"/>
        </w:rPr>
        <w:t>、质量保证</w:t>
      </w:r>
    </w:p>
    <w:p w14:paraId="2421B310">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23" w:name="_Toc1983"/>
      <w:r>
        <w:rPr>
          <w:rFonts w:hint="eastAsia" w:ascii="仿宋" w:hAnsi="仿宋" w:eastAsia="仿宋" w:cs="仿宋"/>
          <w:b w:val="0"/>
          <w:bCs/>
          <w:sz w:val="24"/>
          <w:szCs w:val="24"/>
          <w:highlight w:val="none"/>
          <w:lang w:val="en-US" w:eastAsia="zh-CN"/>
        </w:rPr>
        <w:t>（1）保证技术指标先进、质量性能可靠，全面满足招标要求。</w:t>
      </w:r>
      <w:bookmarkEnd w:id="23"/>
    </w:p>
    <w:p w14:paraId="3515C575">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24" w:name="_Toc13556"/>
      <w:r>
        <w:rPr>
          <w:rFonts w:hint="eastAsia" w:ascii="仿宋" w:hAnsi="仿宋" w:eastAsia="仿宋" w:cs="仿宋"/>
          <w:b w:val="0"/>
          <w:bCs/>
          <w:sz w:val="24"/>
          <w:szCs w:val="24"/>
          <w:highlight w:val="none"/>
          <w:lang w:val="en-US" w:eastAsia="zh-CN"/>
        </w:rPr>
        <w:t>（2）符合国家有关规范要求，确保达到最佳运行状态。</w:t>
      </w:r>
      <w:bookmarkEnd w:id="24"/>
    </w:p>
    <w:p w14:paraId="28B8290C">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25" w:name="_Toc30043"/>
      <w:r>
        <w:rPr>
          <w:rFonts w:hint="eastAsia" w:ascii="仿宋" w:hAnsi="仿宋" w:eastAsia="仿宋" w:cs="仿宋"/>
          <w:b w:val="0"/>
          <w:bCs/>
          <w:sz w:val="24"/>
          <w:szCs w:val="24"/>
          <w:highlight w:val="none"/>
          <w:lang w:val="en-US" w:eastAsia="zh-CN"/>
        </w:rPr>
        <w:t>（3）具有良好的外观，适合安装场所的使用。</w:t>
      </w:r>
      <w:bookmarkEnd w:id="25"/>
    </w:p>
    <w:p w14:paraId="28107C0F">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26" w:name="_Toc24385"/>
      <w:r>
        <w:rPr>
          <w:rFonts w:hint="eastAsia" w:ascii="仿宋" w:hAnsi="仿宋" w:eastAsia="仿宋" w:cs="仿宋"/>
          <w:b w:val="0"/>
          <w:bCs/>
          <w:sz w:val="24"/>
          <w:szCs w:val="24"/>
          <w:highlight w:val="none"/>
          <w:lang w:val="en-US" w:eastAsia="zh-CN"/>
        </w:rPr>
        <w:t>（4）供应商提供的系统自验收之日起不少于36个月的质保期。</w:t>
      </w:r>
      <w:bookmarkEnd w:id="26"/>
    </w:p>
    <w:p w14:paraId="274310C5">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27" w:name="_Toc22190"/>
      <w:r>
        <w:rPr>
          <w:rFonts w:hint="eastAsia" w:ascii="仿宋" w:hAnsi="仿宋" w:eastAsia="仿宋" w:cs="仿宋"/>
          <w:b w:val="0"/>
          <w:bCs/>
          <w:sz w:val="24"/>
          <w:szCs w:val="24"/>
          <w:highlight w:val="none"/>
          <w:lang w:val="en-US" w:eastAsia="zh-CN"/>
        </w:rPr>
        <w:t>（5）质保期内供应商需派两名驻场人员对软件进行检测维护；</w:t>
      </w:r>
      <w:bookmarkEnd w:id="27"/>
    </w:p>
    <w:p w14:paraId="53E56585">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28" w:name="_Toc28088"/>
      <w:r>
        <w:rPr>
          <w:rFonts w:hint="eastAsia" w:ascii="仿宋" w:hAnsi="仿宋" w:eastAsia="仿宋" w:cs="仿宋"/>
          <w:b w:val="0"/>
          <w:bCs/>
          <w:sz w:val="24"/>
          <w:szCs w:val="24"/>
          <w:highlight w:val="none"/>
          <w:lang w:val="en-US" w:eastAsia="zh-CN"/>
        </w:rPr>
        <w:t>（6）排除故障的时限不能超过24小时，当出现故障时有备选方案，可保证平台不间断访问。</w:t>
      </w:r>
      <w:bookmarkEnd w:id="28"/>
    </w:p>
    <w:p w14:paraId="4E0D322A">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29" w:name="_Toc6806"/>
      <w:r>
        <w:rPr>
          <w:rFonts w:hint="eastAsia" w:ascii="仿宋" w:hAnsi="仿宋" w:eastAsia="仿宋" w:cs="仿宋"/>
          <w:b w:val="0"/>
          <w:bCs/>
          <w:sz w:val="24"/>
          <w:szCs w:val="24"/>
          <w:highlight w:val="none"/>
          <w:lang w:val="en-US" w:eastAsia="zh-CN"/>
        </w:rPr>
        <w:t>（7）供应商必须满足所有的技术参数要求，由此产生的风险由供应商自行承担。</w:t>
      </w:r>
      <w:bookmarkEnd w:id="29"/>
    </w:p>
    <w:p w14:paraId="5E30D6AE">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lang w:eastAsia="zh-CN"/>
        </w:rPr>
        <w:t>七</w:t>
      </w:r>
      <w:r>
        <w:rPr>
          <w:rFonts w:hint="eastAsia" w:ascii="仿宋" w:hAnsi="仿宋" w:eastAsia="仿宋" w:cs="仿宋"/>
          <w:b/>
          <w:bCs/>
          <w:sz w:val="24"/>
          <w:highlight w:val="none"/>
        </w:rPr>
        <w:t>、包装、运输、安装、调试及培训要求</w:t>
      </w:r>
    </w:p>
    <w:p w14:paraId="1E70FF97">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1、包装：应采取防潮、防晒、防腐蚀、防震动及防止其它损坏的必要措施。成交供应商应承担由于其包装或防护措施不妥而引起的货物锈蚀、损坏和丢失等任何损失造成的责任或费用。</w:t>
      </w:r>
    </w:p>
    <w:p w14:paraId="510E8B09">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2、运输：选择运输风险小、运费低、距离短的运输路线。运杂费一次包死在总价内，包括生产厂到施工现场所需的装卸、运输（含保险费）、现场保管费、二次倒运费、吊装费等费用。</w:t>
      </w:r>
    </w:p>
    <w:p w14:paraId="7CA9B1D9">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3、安装、调试及培训：成交供应商负责所有设备的安装、调试、培训工作，所有费用一次包死在总价内。每套设备安装调试完毕后，成交供应商必须安排技术人员对使用单位的设备管理人员进行操作应用及维护保养方面的技能培训，使其掌握基本技能。</w:t>
      </w:r>
    </w:p>
    <w:p w14:paraId="14DFB3C3">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rPr>
        <w:t>七、技术与服务</w:t>
      </w:r>
    </w:p>
    <w:p w14:paraId="19AF07AD">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30" w:name="_Toc25138"/>
      <w:r>
        <w:rPr>
          <w:rFonts w:hint="eastAsia" w:ascii="仿宋" w:hAnsi="仿宋" w:eastAsia="仿宋" w:cs="仿宋"/>
          <w:b w:val="0"/>
          <w:bCs/>
          <w:sz w:val="24"/>
          <w:szCs w:val="24"/>
          <w:highlight w:val="none"/>
          <w:lang w:val="en-US" w:eastAsia="zh-CN"/>
        </w:rPr>
        <w:t>1、技术资料</w:t>
      </w:r>
      <w:bookmarkEnd w:id="30"/>
    </w:p>
    <w:p w14:paraId="086660AF">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31" w:name="_Toc3078"/>
      <w:r>
        <w:rPr>
          <w:rFonts w:hint="eastAsia" w:ascii="仿宋" w:hAnsi="仿宋" w:eastAsia="仿宋" w:cs="仿宋"/>
          <w:b w:val="0"/>
          <w:bCs/>
          <w:sz w:val="24"/>
          <w:szCs w:val="24"/>
          <w:highlight w:val="none"/>
          <w:lang w:val="en-US" w:eastAsia="zh-CN"/>
        </w:rPr>
        <w:t>（1）使用说明书（中文）；</w:t>
      </w:r>
      <w:bookmarkEnd w:id="31"/>
    </w:p>
    <w:p w14:paraId="3E39D23D">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32" w:name="_Toc20526"/>
      <w:r>
        <w:rPr>
          <w:rFonts w:hint="eastAsia" w:ascii="仿宋" w:hAnsi="仿宋" w:eastAsia="仿宋" w:cs="仿宋"/>
          <w:b w:val="0"/>
          <w:bCs/>
          <w:sz w:val="24"/>
          <w:szCs w:val="24"/>
          <w:highlight w:val="none"/>
          <w:lang w:val="en-US" w:eastAsia="zh-CN"/>
        </w:rPr>
        <w:t>（2）项目资料、检验报告、项目管理单位项目管理报告、安全评测机构出具安全评测报告；</w:t>
      </w:r>
      <w:bookmarkEnd w:id="32"/>
    </w:p>
    <w:p w14:paraId="2C2074BA">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33" w:name="_Toc13496"/>
      <w:r>
        <w:rPr>
          <w:rFonts w:hint="eastAsia" w:ascii="仿宋" w:hAnsi="仿宋" w:eastAsia="仿宋" w:cs="仿宋"/>
          <w:b w:val="0"/>
          <w:bCs/>
          <w:sz w:val="24"/>
          <w:szCs w:val="24"/>
          <w:highlight w:val="none"/>
          <w:lang w:val="en-US" w:eastAsia="zh-CN"/>
        </w:rPr>
        <w:t>（3）其它资料。</w:t>
      </w:r>
      <w:bookmarkEnd w:id="33"/>
    </w:p>
    <w:p w14:paraId="4FC52CD6">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34" w:name="_Toc21060"/>
      <w:r>
        <w:rPr>
          <w:rFonts w:hint="eastAsia" w:ascii="仿宋" w:hAnsi="仿宋" w:eastAsia="仿宋" w:cs="仿宋"/>
          <w:b w:val="0"/>
          <w:bCs/>
          <w:sz w:val="24"/>
          <w:szCs w:val="24"/>
          <w:highlight w:val="none"/>
          <w:lang w:val="en-US" w:eastAsia="zh-CN"/>
        </w:rPr>
        <w:t>2、服务承诺：以投标文件、澄清表（函）、合同和相关文件为准。</w:t>
      </w:r>
      <w:bookmarkEnd w:id="34"/>
    </w:p>
    <w:p w14:paraId="0A64EF22">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rPr>
        <w:t>八、验收</w:t>
      </w:r>
    </w:p>
    <w:p w14:paraId="4CDCEEE0">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35" w:name="_Toc23620"/>
      <w:r>
        <w:rPr>
          <w:rFonts w:hint="eastAsia" w:ascii="仿宋" w:hAnsi="仿宋" w:eastAsia="仿宋" w:cs="仿宋"/>
          <w:b w:val="0"/>
          <w:bCs/>
          <w:sz w:val="24"/>
          <w:szCs w:val="24"/>
          <w:highlight w:val="none"/>
          <w:lang w:val="en-US" w:eastAsia="zh-CN"/>
        </w:rPr>
        <w:t>1、项目验收:</w:t>
      </w:r>
    </w:p>
    <w:p w14:paraId="3EBFA951">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运维期限到期后，整年度运维正常且无重大事故正，由甲方、使用单位进行终验。</w:t>
      </w:r>
    </w:p>
    <w:p w14:paraId="27CDB442">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2、若验收不合格，必须在接到通知后7个日历日内确保货物通过验收。如接到通知后7个日历日内验收仍不合格，甲方可提出索赔或取消其供货合同。</w:t>
      </w:r>
    </w:p>
    <w:p w14:paraId="239887D9">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3、验收依据</w:t>
      </w:r>
    </w:p>
    <w:p w14:paraId="2BBAA6FD">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 xml:space="preserve">（1）合同文本及合同补充文件（条款）。 </w:t>
      </w:r>
    </w:p>
    <w:p w14:paraId="283EE769">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（2）产品的合法来源渠道证明文件。</w:t>
      </w:r>
    </w:p>
    <w:p w14:paraId="69A536A4">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（3）磋商文件。</w:t>
      </w:r>
    </w:p>
    <w:p w14:paraId="167AE579">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（4）成交供应商的竞争性磋商响应文件。</w:t>
      </w:r>
    </w:p>
    <w:p w14:paraId="2ADF6CE3">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（5）服务内容及技术要求。</w:t>
      </w:r>
    </w:p>
    <w:p w14:paraId="0C552AB3">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（6）生产厂家的企业资质、货物的执行标准。</w:t>
      </w:r>
      <w:bookmarkEnd w:id="35"/>
    </w:p>
    <w:p w14:paraId="442AB15E">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rPr>
        <w:t>九、违约责任</w:t>
      </w:r>
    </w:p>
    <w:p w14:paraId="6B22B3F1">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36" w:name="_Toc5152"/>
      <w:r>
        <w:rPr>
          <w:rFonts w:hint="eastAsia" w:ascii="仿宋" w:hAnsi="仿宋" w:eastAsia="仿宋" w:cs="仿宋"/>
          <w:b w:val="0"/>
          <w:bCs/>
          <w:sz w:val="24"/>
          <w:szCs w:val="24"/>
          <w:highlight w:val="none"/>
          <w:lang w:val="en-US" w:eastAsia="zh-CN"/>
        </w:rPr>
        <w:t>1、按《中华人民共和国民法典》中的相关条款执行。</w:t>
      </w:r>
      <w:bookmarkEnd w:id="36"/>
    </w:p>
    <w:p w14:paraId="296CBDD3">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37" w:name="_Toc7350"/>
      <w:r>
        <w:rPr>
          <w:rFonts w:hint="eastAsia" w:ascii="仿宋" w:hAnsi="仿宋" w:eastAsia="仿宋" w:cs="仿宋"/>
          <w:b w:val="0"/>
          <w:bCs/>
          <w:sz w:val="24"/>
          <w:szCs w:val="24"/>
          <w:highlight w:val="none"/>
          <w:lang w:val="en-US" w:eastAsia="zh-CN"/>
        </w:rPr>
        <w:t>2、未按合同要求提供货物、服务或货物、服务质量不能满足合同要求，甲方有权依据《民法典》有关条款及合同约定终止合同，并要求供应商承担违约责任。</w:t>
      </w:r>
      <w:bookmarkEnd w:id="37"/>
    </w:p>
    <w:p w14:paraId="7E5ECF99">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38" w:name="_Toc18792"/>
      <w:r>
        <w:rPr>
          <w:rFonts w:hint="eastAsia" w:ascii="仿宋" w:hAnsi="仿宋" w:eastAsia="仿宋" w:cs="仿宋"/>
          <w:b w:val="0"/>
          <w:bCs/>
          <w:sz w:val="24"/>
          <w:szCs w:val="24"/>
          <w:highlight w:val="none"/>
          <w:lang w:val="en-US" w:eastAsia="zh-CN"/>
        </w:rPr>
        <w:t>3、如乙方在政府采购合同规定的交货日期后10天内仍未能交货，则视为乙方不能交货，甲方有权解除政府采购合同，乙方除退还已收取的货款外，还应向甲方偿付政府采购合同总金额10%的违约金。</w:t>
      </w:r>
      <w:bookmarkEnd w:id="38"/>
    </w:p>
    <w:p w14:paraId="17E2A4A0">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rPr>
        <w:t>十、争议解决</w:t>
      </w:r>
    </w:p>
    <w:p w14:paraId="73642F5A">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39" w:name="_Toc11041"/>
      <w:r>
        <w:rPr>
          <w:rFonts w:hint="eastAsia" w:ascii="仿宋" w:hAnsi="仿宋" w:eastAsia="仿宋" w:cs="仿宋"/>
          <w:b w:val="0"/>
          <w:bCs/>
          <w:sz w:val="24"/>
          <w:szCs w:val="24"/>
          <w:highlight w:val="none"/>
          <w:lang w:val="en-US" w:eastAsia="zh-CN"/>
        </w:rPr>
        <w:t>执行本合同中产生纠纷，由甲方与乙方双方协商解决；协商不成，向甲方所在地的人民法院提起诉讼。</w:t>
      </w:r>
      <w:bookmarkEnd w:id="39"/>
    </w:p>
    <w:p w14:paraId="46671BEB">
      <w:pPr>
        <w:spacing w:line="360" w:lineRule="auto"/>
        <w:ind w:firstLine="482" w:firstLineChars="200"/>
        <w:outlineLvl w:val="9"/>
        <w:rPr>
          <w:rFonts w:hint="eastAsia" w:ascii="仿宋" w:hAnsi="仿宋" w:eastAsia="仿宋" w:cs="仿宋"/>
          <w:b/>
          <w:bCs/>
          <w:sz w:val="24"/>
          <w:highlight w:val="none"/>
        </w:rPr>
      </w:pPr>
      <w:r>
        <w:rPr>
          <w:rFonts w:hint="eastAsia" w:ascii="仿宋" w:hAnsi="仿宋" w:eastAsia="仿宋" w:cs="仿宋"/>
          <w:b/>
          <w:bCs/>
          <w:sz w:val="24"/>
          <w:highlight w:val="none"/>
        </w:rPr>
        <w:t>十一、合同生效及其他</w:t>
      </w:r>
    </w:p>
    <w:p w14:paraId="4E110732">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40" w:name="_Toc23796"/>
      <w:r>
        <w:rPr>
          <w:rFonts w:hint="eastAsia" w:ascii="仿宋" w:hAnsi="仿宋" w:eastAsia="仿宋" w:cs="仿宋"/>
          <w:b w:val="0"/>
          <w:bCs/>
          <w:sz w:val="24"/>
          <w:szCs w:val="24"/>
          <w:highlight w:val="none"/>
          <w:lang w:val="en-US" w:eastAsia="zh-CN"/>
        </w:rPr>
        <w:t>1、本合同自签订之日起生效。</w:t>
      </w:r>
      <w:bookmarkEnd w:id="40"/>
    </w:p>
    <w:p w14:paraId="29556E86">
      <w:pPr>
        <w:pStyle w:val="27"/>
        <w:spacing w:before="0" w:after="0" w:line="360" w:lineRule="auto"/>
        <w:ind w:firstLine="480" w:firstLineChars="200"/>
        <w:jc w:val="both"/>
        <w:outlineLvl w:val="9"/>
        <w:rPr>
          <w:rFonts w:hint="eastAsia" w:ascii="仿宋" w:hAnsi="仿宋" w:eastAsia="仿宋" w:cs="仿宋"/>
          <w:b w:val="0"/>
          <w:bCs/>
          <w:sz w:val="24"/>
          <w:szCs w:val="24"/>
          <w:highlight w:val="none"/>
        </w:rPr>
      </w:pPr>
      <w:bookmarkStart w:id="41" w:name="_Toc22324"/>
      <w:r>
        <w:rPr>
          <w:rFonts w:hint="eastAsia" w:ascii="仿宋" w:hAnsi="仿宋" w:eastAsia="仿宋" w:cs="仿宋"/>
          <w:b w:val="0"/>
          <w:bCs/>
          <w:sz w:val="24"/>
          <w:szCs w:val="24"/>
          <w:highlight w:val="none"/>
          <w:lang w:val="en-US" w:eastAsia="zh-CN"/>
        </w:rPr>
        <w:t>2、合同份数由甲方和乙方具体商定，</w:t>
      </w:r>
      <w:bookmarkEnd w:id="41"/>
      <w:bookmarkStart w:id="42" w:name="_Toc15166"/>
      <w:r>
        <w:rPr>
          <w:rFonts w:hint="eastAsia" w:ascii="仿宋" w:hAnsi="仿宋" w:eastAsia="仿宋" w:cs="仿宋"/>
          <w:b w:val="0"/>
          <w:bCs/>
          <w:sz w:val="24"/>
          <w:szCs w:val="24"/>
          <w:highlight w:val="none"/>
          <w:lang w:val="en-US" w:eastAsia="zh-CN"/>
        </w:rPr>
        <w:t>采购代理机构留存合同原件一份（用于办理乙方的投标保证金退还事宜）。</w:t>
      </w:r>
      <w:bookmarkEnd w:id="42"/>
    </w:p>
    <w:p w14:paraId="1063F57C">
      <w:pPr>
        <w:pStyle w:val="27"/>
        <w:spacing w:before="0" w:after="0" w:line="360" w:lineRule="auto"/>
        <w:ind w:firstLine="480" w:firstLineChars="200"/>
        <w:jc w:val="both"/>
        <w:outlineLvl w:val="9"/>
        <w:rPr>
          <w:rFonts w:hint="eastAsia" w:ascii="仿宋" w:hAnsi="仿宋" w:eastAsia="仿宋" w:cs="仿宋"/>
          <w:b w:val="0"/>
          <w:bCs/>
          <w:sz w:val="24"/>
          <w:szCs w:val="24"/>
          <w:highlight w:val="none"/>
          <w:lang w:val="en-US" w:eastAsia="zh-CN"/>
        </w:rPr>
      </w:pPr>
      <w:bookmarkStart w:id="43" w:name="_Toc20725"/>
      <w:r>
        <w:rPr>
          <w:rFonts w:hint="eastAsia" w:ascii="仿宋" w:hAnsi="仿宋" w:eastAsia="仿宋" w:cs="仿宋"/>
          <w:b w:val="0"/>
          <w:bCs/>
          <w:sz w:val="24"/>
          <w:szCs w:val="24"/>
          <w:highlight w:val="none"/>
          <w:lang w:val="en-US" w:eastAsia="zh-CN"/>
        </w:rPr>
        <w:t>3、未尽事宜由双方在签订合同时具体明确。</w:t>
      </w:r>
      <w:bookmarkEnd w:id="43"/>
    </w:p>
    <w:p w14:paraId="76D1D835">
      <w:pPr>
        <w:widowControl/>
        <w:spacing w:line="360" w:lineRule="auto"/>
        <w:ind w:left="4800" w:hanging="3600" w:hangingChars="1500"/>
        <w:jc w:val="left"/>
        <w:rPr>
          <w:rFonts w:hint="eastAsia" w:ascii="仿宋" w:hAnsi="仿宋" w:eastAsia="仿宋" w:cs="仿宋"/>
          <w:kern w:val="2"/>
          <w:sz w:val="24"/>
          <w:szCs w:val="24"/>
          <w:highlight w:val="none"/>
          <w:lang w:val="en-US" w:eastAsia="zh-CN" w:bidi="ar-SA"/>
        </w:rPr>
      </w:pPr>
    </w:p>
    <w:p w14:paraId="2BC997E6">
      <w:pPr>
        <w:widowControl/>
        <w:spacing w:line="360" w:lineRule="auto"/>
        <w:ind w:left="4800" w:hanging="3600" w:hangingChars="15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甲方（盖章）：                    乙方（盖章）：  </w:t>
      </w:r>
    </w:p>
    <w:p w14:paraId="7CDE366D">
      <w:pPr>
        <w:widowControl/>
        <w:spacing w:line="360" w:lineRule="auto"/>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法定代表人</w:t>
      </w: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 xml:space="preserve">      法定代表人 </w:t>
      </w:r>
    </w:p>
    <w:p w14:paraId="237E0582">
      <w:pPr>
        <w:widowControl/>
        <w:spacing w:line="360" w:lineRule="auto"/>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（或委托人）：                    （或委托人）：</w:t>
      </w:r>
    </w:p>
    <w:p w14:paraId="1D7C1A45">
      <w:pPr>
        <w:widowControl/>
        <w:spacing w:line="360" w:lineRule="auto"/>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电   话：                          电  话：</w:t>
      </w:r>
    </w:p>
    <w:p w14:paraId="3EC94B73">
      <w:pPr>
        <w:widowControl/>
        <w:spacing w:line="360" w:lineRule="auto"/>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传   真：                          传  真：</w:t>
      </w:r>
    </w:p>
    <w:p w14:paraId="1834F443">
      <w:pPr>
        <w:widowControl/>
        <w:spacing w:line="360" w:lineRule="auto"/>
        <w:ind w:left="6080" w:hanging="4560" w:hangingChars="19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开户行：                           开户行：            </w:t>
      </w:r>
    </w:p>
    <w:p w14:paraId="221D2BDD">
      <w:pPr>
        <w:widowControl/>
        <w:spacing w:line="360" w:lineRule="auto"/>
        <w:ind w:left="640" w:hanging="480" w:hanging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账  号：                           账  号：    </w:t>
      </w:r>
    </w:p>
    <w:p w14:paraId="6A1A816F">
      <w:pPr>
        <w:widowControl/>
        <w:spacing w:line="360" w:lineRule="auto"/>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年   月   日                       年   月   日</w:t>
      </w:r>
    </w:p>
    <w:p w14:paraId="68402D6B">
      <w:pPr>
        <w:pStyle w:val="27"/>
        <w:spacing w:before="0" w:after="0" w:line="360" w:lineRule="auto"/>
        <w:ind w:firstLine="480" w:firstLineChars="200"/>
        <w:jc w:val="both"/>
        <w:outlineLvl w:val="9"/>
        <w:rPr>
          <w:rFonts w:cs="宋体"/>
          <w:b w:val="0"/>
          <w:bCs/>
          <w:sz w:val="24"/>
          <w:szCs w:val="24"/>
          <w:highlight w:val="none"/>
          <w:lang w:val="en-US" w:eastAsia="zh-CN"/>
        </w:rPr>
      </w:pPr>
    </w:p>
    <w:p w14:paraId="6C8E5B97">
      <w:pPr>
        <w:pStyle w:val="28"/>
        <w:spacing w:line="360" w:lineRule="auto"/>
        <w:rPr>
          <w:rFonts w:hint="eastAsia" w:ascii="仿宋" w:hAnsi="仿宋" w:eastAsia="仿宋" w:cs="仿宋"/>
          <w:highlight w:val="none"/>
          <w:lang w:val="en-US" w:eastAsia="zh-Hans"/>
        </w:rPr>
      </w:pPr>
      <w:r>
        <w:rPr>
          <w:rFonts w:hint="eastAsia" w:ascii="仿宋" w:hAnsi="仿宋" w:eastAsia="仿宋" w:cs="仿宋"/>
          <w:highlight w:val="none"/>
        </w:rPr>
        <w:br w:type="textWrapping"/>
      </w:r>
    </w:p>
    <w:p w14:paraId="68D6619A">
      <w:pPr>
        <w:rPr>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17D5380"/>
    <w:rsid w:val="0444100C"/>
    <w:rsid w:val="05306AF9"/>
    <w:rsid w:val="07001599"/>
    <w:rsid w:val="07851442"/>
    <w:rsid w:val="07A55852"/>
    <w:rsid w:val="091E1297"/>
    <w:rsid w:val="0AB64089"/>
    <w:rsid w:val="0B4121B4"/>
    <w:rsid w:val="0BD83185"/>
    <w:rsid w:val="0C2A470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9D3530"/>
    <w:rsid w:val="28C96216"/>
    <w:rsid w:val="2A15141A"/>
    <w:rsid w:val="2A230D5A"/>
    <w:rsid w:val="2AA720D9"/>
    <w:rsid w:val="2B370F4B"/>
    <w:rsid w:val="2B7E614C"/>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B75E87"/>
    <w:rsid w:val="3BE47C50"/>
    <w:rsid w:val="3BF302F3"/>
    <w:rsid w:val="3BF511EF"/>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1E46ED"/>
    <w:rsid w:val="4C9F5628"/>
    <w:rsid w:val="4D182C88"/>
    <w:rsid w:val="4D2C0602"/>
    <w:rsid w:val="4D7B76FC"/>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CB43DE"/>
    <w:rsid w:val="59EA7F4F"/>
    <w:rsid w:val="5ADC54F0"/>
    <w:rsid w:val="5C5D6916"/>
    <w:rsid w:val="5C741667"/>
    <w:rsid w:val="5CAB1AAC"/>
    <w:rsid w:val="5D186F18"/>
    <w:rsid w:val="5D9341C4"/>
    <w:rsid w:val="5F0745CE"/>
    <w:rsid w:val="5FCC6BAB"/>
    <w:rsid w:val="60886A5A"/>
    <w:rsid w:val="610464A6"/>
    <w:rsid w:val="61DF614B"/>
    <w:rsid w:val="6251055B"/>
    <w:rsid w:val="629B3C5A"/>
    <w:rsid w:val="62A35618"/>
    <w:rsid w:val="62FC4118"/>
    <w:rsid w:val="636C5BCF"/>
    <w:rsid w:val="63D24027"/>
    <w:rsid w:val="64846CBA"/>
    <w:rsid w:val="65E14FB5"/>
    <w:rsid w:val="66857FC0"/>
    <w:rsid w:val="686D223D"/>
    <w:rsid w:val="691B2B1E"/>
    <w:rsid w:val="6BF01A2A"/>
    <w:rsid w:val="6C573973"/>
    <w:rsid w:val="6D2E3635"/>
    <w:rsid w:val="6D8F1939"/>
    <w:rsid w:val="6E5839D5"/>
    <w:rsid w:val="6E9D056A"/>
    <w:rsid w:val="712227CC"/>
    <w:rsid w:val="7298210F"/>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93243A"/>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4"/>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6"/>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3"/>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5"/>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8">
    <w:name w:val="Body Text First Indent"/>
    <w:basedOn w:val="13"/>
    <w:next w:val="19"/>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9">
    <w:name w:val="Body Text First Indent 2"/>
    <w:basedOn w:val="14"/>
    <w:next w:val="1"/>
    <w:qFormat/>
    <w:uiPriority w:val="0"/>
    <w:pPr>
      <w:ind w:firstLine="420" w:firstLineChars="200"/>
    </w:pPr>
  </w:style>
  <w:style w:type="character" w:customStyle="1" w:styleId="22">
    <w:name w:val="标题 2 Char1"/>
    <w:link w:val="3"/>
    <w:qFormat/>
    <w:uiPriority w:val="0"/>
    <w:rPr>
      <w:rFonts w:ascii="Arial" w:hAnsi="Arial" w:eastAsia="宋体" w:cs="Times New Roman"/>
      <w:b/>
      <w:bCs/>
      <w:kern w:val="0"/>
      <w:sz w:val="36"/>
      <w:szCs w:val="22"/>
      <w:lang w:val="zh-CN" w:bidi="zh-CN"/>
    </w:rPr>
  </w:style>
  <w:style w:type="character" w:customStyle="1" w:styleId="23">
    <w:name w:val="标题 3 Char"/>
    <w:basedOn w:val="21"/>
    <w:link w:val="4"/>
    <w:qFormat/>
    <w:uiPriority w:val="0"/>
    <w:rPr>
      <w:rFonts w:ascii="Times New Roman" w:hAnsi="Times New Roman" w:eastAsia="宋体" w:cs="Times New Roman"/>
      <w:b/>
      <w:bCs/>
      <w:kern w:val="2"/>
      <w:sz w:val="32"/>
      <w:szCs w:val="32"/>
    </w:rPr>
  </w:style>
  <w:style w:type="character" w:customStyle="1" w:styleId="24">
    <w:name w:val="标题 1 Char"/>
    <w:basedOn w:val="21"/>
    <w:link w:val="2"/>
    <w:qFormat/>
    <w:uiPriority w:val="0"/>
    <w:rPr>
      <w:rFonts w:ascii="黑体" w:hAnsi="黑体" w:eastAsia="宋体" w:cs="Times New Roman"/>
      <w:b/>
      <w:kern w:val="2"/>
      <w:sz w:val="36"/>
      <w:szCs w:val="24"/>
    </w:rPr>
  </w:style>
  <w:style w:type="character" w:customStyle="1" w:styleId="25">
    <w:name w:val="标题 4 Char"/>
    <w:basedOn w:val="21"/>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6">
    <w:name w:val="标题 2 字符"/>
    <w:link w:val="3"/>
    <w:autoRedefine/>
    <w:qFormat/>
    <w:uiPriority w:val="0"/>
    <w:rPr>
      <w:rFonts w:ascii="Arial" w:hAnsi="Arial" w:eastAsia="黑体" w:cs="Times New Roman"/>
      <w:snapToGrid/>
      <w:sz w:val="32"/>
      <w:szCs w:val="20"/>
      <w:lang w:eastAsia="zh-CN"/>
    </w:rPr>
  </w:style>
  <w:style w:type="paragraph" w:customStyle="1" w:styleId="27">
    <w:name w:val="样式4"/>
    <w:basedOn w:val="1"/>
    <w:qFormat/>
    <w:uiPriority w:val="0"/>
    <w:pPr>
      <w:spacing w:before="240" w:after="240"/>
      <w:jc w:val="center"/>
      <w:outlineLvl w:val="0"/>
    </w:pPr>
    <w:rPr>
      <w:rFonts w:hint="eastAsia" w:ascii="宋体" w:hAnsi="宋体"/>
      <w:b/>
      <w:kern w:val="0"/>
      <w:sz w:val="36"/>
      <w:szCs w:val="36"/>
    </w:rPr>
  </w:style>
  <w:style w:type="paragraph" w:customStyle="1" w:styleId="2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2025-10-28T03:28:34Z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4354D6A7852C427FBEF8233A28CB7EFD_13</vt:lpwstr>
  </property>
  <property fmtid="{D5CDD505-2E9C-101B-9397-08002B2CF9AE}" pid="4" name="KSOTemplateDocerSaveRecord">
    <vt:lpwstr>eyJoZGlkIjoiMTIzYjBkMDE0MDUwZWU1MDYzY2M0YTJiMmIyMWQyNDYiLCJ1c2VySWQiOiI5MTQ3Njg1NjkifQ==</vt:lpwstr>
  </property>
</Properties>
</file>