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版本号：ZZB2025-CSZB07020251104001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王莽街道清水头村农村供水保障项目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ZZB2025-CSZB070</w:t>
      </w:r>
      <w:r>
        <w:br/>
      </w:r>
      <w:r>
        <w:br/>
      </w:r>
      <w:r>
        <w:br/>
      </w:r>
    </w:p>
    <w:p>
      <w:pPr>
        <w:pStyle w:val="null3"/>
        <w:jc w:val="center"/>
        <w:outlineLvl w:val="2"/>
      </w:pPr>
      <w:r>
        <w:rPr>
          <w:rFonts w:ascii="仿宋_GB2312" w:hAnsi="仿宋_GB2312" w:cs="仿宋_GB2312" w:eastAsia="仿宋_GB2312"/>
          <w:sz w:val="28"/>
          <w:b/>
        </w:rPr>
        <w:t>西安市长安区王莽街道办事处</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西安市长安区王莽街道办事处</w:t>
      </w:r>
      <w:r>
        <w:rPr>
          <w:rFonts w:ascii="仿宋_GB2312" w:hAnsi="仿宋_GB2312" w:cs="仿宋_GB2312" w:eastAsia="仿宋_GB2312"/>
        </w:rPr>
        <w:t>委托，拟对</w:t>
      </w:r>
      <w:r>
        <w:rPr>
          <w:rFonts w:ascii="仿宋_GB2312" w:hAnsi="仿宋_GB2312" w:cs="仿宋_GB2312" w:eastAsia="仿宋_GB2312"/>
        </w:rPr>
        <w:t>王莽街道清水头村农村供水保障项目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ZZB2025-CSZB070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王莽街道清水头村农村供水保障项目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铺设输配水管道10816米，更换水泵5台，配套变频控制3台、次氯酸钠发生器1台，不锈钢水箱2个，容积分别为20m³及87.5m³，扩建原砖混管理房1间12㎡，新建砖混管理房1间62.1㎡。详见工程量清单及施工图纸。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采购包1（王莽街道清水头村农村供水保障项目）：属于专门面向中小企业采购。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1、营业执照等主体资格证明文件：提供注册登记凭证（营业执照或其他组织经营的合法凭证或自然人的提供身份证明文件）；</w:t>
      </w:r>
    </w:p>
    <w:p>
      <w:pPr>
        <w:pStyle w:val="null3"/>
      </w:pPr>
      <w:r>
        <w:rPr>
          <w:rFonts w:ascii="仿宋_GB2312" w:hAnsi="仿宋_GB2312" w:cs="仿宋_GB2312" w:eastAsia="仿宋_GB2312"/>
        </w:rPr>
        <w:t>2、法定代表人授权委托书：法定代表人直接参加磋商的，须出具法定代表人身份证明书及身份证；法定代表人委托代理人参加磋商的，须出具法定代表人授权委托书及委托代理人身份证；</w:t>
      </w:r>
    </w:p>
    <w:p>
      <w:pPr>
        <w:pStyle w:val="null3"/>
      </w:pPr>
      <w:r>
        <w:rPr>
          <w:rFonts w:ascii="仿宋_GB2312" w:hAnsi="仿宋_GB2312" w:cs="仿宋_GB2312" w:eastAsia="仿宋_GB2312"/>
        </w:rPr>
        <w:t>3、资质要求：供应商须具备建设行政主管部门颁发的水利水电工程施工总承包三级及以上资质，并具有有效的安全生产许可证；并在人员、设备、资金等方面具备相应的能力；</w:t>
      </w:r>
    </w:p>
    <w:p>
      <w:pPr>
        <w:pStyle w:val="null3"/>
      </w:pPr>
      <w:r>
        <w:rPr>
          <w:rFonts w:ascii="仿宋_GB2312" w:hAnsi="仿宋_GB2312" w:cs="仿宋_GB2312" w:eastAsia="仿宋_GB2312"/>
        </w:rPr>
        <w:t>4、项目经理：拟派项目经理须具备有效的的水利水电工程专业二级及以上建造师注册证，具备水利行政主管部门颁发的安全生产考核合格证（B证），且在本单位注册，无在建工程，且无不良记录；</w:t>
      </w:r>
    </w:p>
    <w:p>
      <w:pPr>
        <w:pStyle w:val="null3"/>
      </w:pPr>
      <w:r>
        <w:rPr>
          <w:rFonts w:ascii="仿宋_GB2312" w:hAnsi="仿宋_GB2312" w:cs="仿宋_GB2312" w:eastAsia="仿宋_GB2312"/>
        </w:rPr>
        <w:t>5、财务状况报告：提供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p>
      <w:pPr>
        <w:pStyle w:val="null3"/>
      </w:pPr>
      <w:r>
        <w:rPr>
          <w:rFonts w:ascii="仿宋_GB2312" w:hAnsi="仿宋_GB2312" w:cs="仿宋_GB2312" w:eastAsia="仿宋_GB2312"/>
        </w:rPr>
        <w:t>6、税收缴纳证明：提供响应文件递交截止日前一年内已缴存的至少一个月的纳税证明或完税证明。依法免税的供应商应提供相关文件证明；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7、社会保障资金缴纳证明：提供响应文件递交截止日前一年内已缴存的至少一个月的社会保障资金的凭据（专用收据或社会保险缴纳清单），依法不需要缴纳社会保障资金的单位应提供相关证明材料；</w:t>
      </w:r>
    </w:p>
    <w:p>
      <w:pPr>
        <w:pStyle w:val="null3"/>
      </w:pPr>
      <w:r>
        <w:rPr>
          <w:rFonts w:ascii="仿宋_GB2312" w:hAnsi="仿宋_GB2312" w:cs="仿宋_GB2312" w:eastAsia="仿宋_GB2312"/>
        </w:rPr>
        <w:t>8、履行能力：具备履行合同所必需的设备和专业技术能力的证明材料或书面声明；</w:t>
      </w:r>
    </w:p>
    <w:p>
      <w:pPr>
        <w:pStyle w:val="null3"/>
      </w:pPr>
      <w:r>
        <w:rPr>
          <w:rFonts w:ascii="仿宋_GB2312" w:hAnsi="仿宋_GB2312" w:cs="仿宋_GB2312" w:eastAsia="仿宋_GB2312"/>
        </w:rPr>
        <w:t>9、没有重大违法记录：参加政府采购活动前三年内在经营活动中没有重大违法记录的书面声明；</w:t>
      </w:r>
    </w:p>
    <w:p>
      <w:pPr>
        <w:pStyle w:val="null3"/>
      </w:pPr>
      <w:r>
        <w:rPr>
          <w:rFonts w:ascii="仿宋_GB2312" w:hAnsi="仿宋_GB2312" w:cs="仿宋_GB2312" w:eastAsia="仿宋_GB2312"/>
        </w:rPr>
        <w:t>10、信誉：供应商未被列入“中国执行信息公开网”（https://zxgk.court.gov.cn/）失信被执行人名单，未被列入“信用中国”网站（https://www.creditchina.gov.cn/）重大税收违法失信主体名单，未被列入“中国政府采购网”（http://www.ccgp.gov.cn/） 政府采购严重违法失信行为记录名单；（提供承诺书，格式自拟。）</w:t>
      </w:r>
    </w:p>
    <w:p>
      <w:pPr>
        <w:pStyle w:val="null3"/>
      </w:pPr>
      <w:r>
        <w:rPr>
          <w:rFonts w:ascii="仿宋_GB2312" w:hAnsi="仿宋_GB2312" w:cs="仿宋_GB2312" w:eastAsia="仿宋_GB2312"/>
        </w:rPr>
        <w:t>11、非联合体不分包投标声明：供应商应提供《非联合体不分包投标声明》，视为独立投标，不分包。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西安市长安区王莽街道办事处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王莽街道西王莽村甲子1号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029-85936118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采购包1：1,573,700.03元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代理服务费收费标准：1、代理服务费：参照国家计委《计价格[2002]1980号》招标代理服务费管理暂行办法》和《国家发改委办公厅发改价格[2003]857号》、[2011]534号规定标准计算收取。 2、中标（成交）供应商在领取成交通知书时，须向采购代理机构一次性支付招标代理服务费。 3、代理服务费账户：①采购代理机构开户名称：中志标建设项目管理咨询有限公司；②开户行名称：华夏银行股份有限公司西安高新技术开发区支行；③账号：11451000000616457。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西安市长安区王莽街道办事处</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西安市长安区王莽街道办事处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西安市长安区王莽街道办事处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w:t>
      </w:r>
    </w:p>
    <w:p>
      <w:pPr>
        <w:pStyle w:val="null3"/>
      </w:pPr>
      <w:r>
        <w:rPr>
          <w:rFonts w:ascii="仿宋_GB2312" w:hAnsi="仿宋_GB2312" w:cs="仿宋_GB2312" w:eastAsia="仿宋_GB2312"/>
        </w:rPr>
        <w:t>联系电话：18292000147</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1,573,700.03</w:t>
      </w:r>
    </w:p>
    <w:p>
      <w:pPr>
        <w:pStyle w:val="null3"/>
      </w:pPr>
      <w:r>
        <w:rPr>
          <w:rFonts w:ascii="仿宋_GB2312" w:hAnsi="仿宋_GB2312" w:cs="仿宋_GB2312" w:eastAsia="仿宋_GB2312"/>
        </w:rPr>
        <w:t>采购包最高限价（元）: 1,573,700.03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铺设输配水管道10816米，更换水泵5台，配套变频控制3台、次氯酸钠发生器1台，不锈钢水箱2个，容积分别为20m³及87.5m³，扩建原砖混管理房1间12㎡，新建砖混管理房1间62.1㎡。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1,573,700.03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标的名称：铺设输配水管道10816米，更换水泵5台，配套变频控制3台、次氯酸钠发生器1台，不锈钢水箱2个，容积分别为20m³及87.5m³，扩建原砖混管理房1间12㎡，新建砖混管理房1间62.1㎡。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2"/>
              <w:jc w:val="left"/>
            </w:pPr>
            <w:r>
              <w:rPr>
                <w:rFonts w:ascii="仿宋_GB2312" w:hAnsi="仿宋_GB2312" w:cs="仿宋_GB2312" w:eastAsia="仿宋_GB2312"/>
                <w:sz w:val="24"/>
                <w:b/>
              </w:rPr>
              <w:t>一、项目概况</w:t>
            </w:r>
          </w:p>
          <w:p>
            <w:pPr>
              <w:pStyle w:val="null3"/>
              <w:spacing w:before="105" w:after="105"/>
              <w:ind w:firstLine="480"/>
              <w:jc w:val="left"/>
            </w:pPr>
            <w:r>
              <w:rPr>
                <w:rFonts w:ascii="仿宋_GB2312" w:hAnsi="仿宋_GB2312" w:cs="仿宋_GB2312" w:eastAsia="仿宋_GB2312"/>
                <w:sz w:val="24"/>
              </w:rPr>
              <w:t>铺设输配水管道</w:t>
            </w:r>
            <w:r>
              <w:rPr>
                <w:rFonts w:ascii="仿宋_GB2312" w:hAnsi="仿宋_GB2312" w:cs="仿宋_GB2312" w:eastAsia="仿宋_GB2312"/>
                <w:sz w:val="24"/>
              </w:rPr>
              <w:t>10816</w:t>
            </w:r>
            <w:r>
              <w:rPr>
                <w:rFonts w:ascii="仿宋_GB2312" w:hAnsi="仿宋_GB2312" w:cs="仿宋_GB2312" w:eastAsia="仿宋_GB2312"/>
                <w:sz w:val="24"/>
              </w:rPr>
              <w:t>米，更换水泵</w:t>
            </w:r>
            <w:r>
              <w:rPr>
                <w:rFonts w:ascii="仿宋_GB2312" w:hAnsi="仿宋_GB2312" w:cs="仿宋_GB2312" w:eastAsia="仿宋_GB2312"/>
                <w:sz w:val="24"/>
              </w:rPr>
              <w:t>5</w:t>
            </w:r>
            <w:r>
              <w:rPr>
                <w:rFonts w:ascii="仿宋_GB2312" w:hAnsi="仿宋_GB2312" w:cs="仿宋_GB2312" w:eastAsia="仿宋_GB2312"/>
                <w:sz w:val="24"/>
              </w:rPr>
              <w:t>台，配套变频控制</w:t>
            </w:r>
            <w:r>
              <w:rPr>
                <w:rFonts w:ascii="仿宋_GB2312" w:hAnsi="仿宋_GB2312" w:cs="仿宋_GB2312" w:eastAsia="仿宋_GB2312"/>
                <w:sz w:val="24"/>
              </w:rPr>
              <w:t>3</w:t>
            </w:r>
            <w:r>
              <w:rPr>
                <w:rFonts w:ascii="仿宋_GB2312" w:hAnsi="仿宋_GB2312" w:cs="仿宋_GB2312" w:eastAsia="仿宋_GB2312"/>
                <w:sz w:val="24"/>
              </w:rPr>
              <w:t>台、次氯酸钠发生器</w:t>
            </w:r>
            <w:r>
              <w:rPr>
                <w:rFonts w:ascii="仿宋_GB2312" w:hAnsi="仿宋_GB2312" w:cs="仿宋_GB2312" w:eastAsia="仿宋_GB2312"/>
                <w:sz w:val="24"/>
              </w:rPr>
              <w:t>1</w:t>
            </w:r>
            <w:r>
              <w:rPr>
                <w:rFonts w:ascii="仿宋_GB2312" w:hAnsi="仿宋_GB2312" w:cs="仿宋_GB2312" w:eastAsia="仿宋_GB2312"/>
                <w:sz w:val="24"/>
              </w:rPr>
              <w:t>台，不锈钢水箱</w:t>
            </w:r>
            <w:r>
              <w:rPr>
                <w:rFonts w:ascii="仿宋_GB2312" w:hAnsi="仿宋_GB2312" w:cs="仿宋_GB2312" w:eastAsia="仿宋_GB2312"/>
                <w:sz w:val="24"/>
              </w:rPr>
              <w:t>2</w:t>
            </w:r>
            <w:r>
              <w:rPr>
                <w:rFonts w:ascii="仿宋_GB2312" w:hAnsi="仿宋_GB2312" w:cs="仿宋_GB2312" w:eastAsia="仿宋_GB2312"/>
                <w:sz w:val="24"/>
              </w:rPr>
              <w:t>个，容积分别为</w:t>
            </w:r>
            <w:r>
              <w:rPr>
                <w:rFonts w:ascii="仿宋_GB2312" w:hAnsi="仿宋_GB2312" w:cs="仿宋_GB2312" w:eastAsia="仿宋_GB2312"/>
                <w:sz w:val="24"/>
              </w:rPr>
              <w:t>20m³</w:t>
            </w:r>
            <w:r>
              <w:rPr>
                <w:rFonts w:ascii="仿宋_GB2312" w:hAnsi="仿宋_GB2312" w:cs="仿宋_GB2312" w:eastAsia="仿宋_GB2312"/>
                <w:sz w:val="24"/>
              </w:rPr>
              <w:t>及</w:t>
            </w:r>
            <w:r>
              <w:rPr>
                <w:rFonts w:ascii="仿宋_GB2312" w:hAnsi="仿宋_GB2312" w:cs="仿宋_GB2312" w:eastAsia="仿宋_GB2312"/>
                <w:sz w:val="24"/>
              </w:rPr>
              <w:t>87.5m³</w:t>
            </w:r>
            <w:r>
              <w:rPr>
                <w:rFonts w:ascii="仿宋_GB2312" w:hAnsi="仿宋_GB2312" w:cs="仿宋_GB2312" w:eastAsia="仿宋_GB2312"/>
                <w:sz w:val="24"/>
              </w:rPr>
              <w:t>，扩建原砖混管理房</w:t>
            </w:r>
            <w:r>
              <w:rPr>
                <w:rFonts w:ascii="仿宋_GB2312" w:hAnsi="仿宋_GB2312" w:cs="仿宋_GB2312" w:eastAsia="仿宋_GB2312"/>
                <w:sz w:val="24"/>
              </w:rPr>
              <w:t>1</w:t>
            </w:r>
            <w:r>
              <w:rPr>
                <w:rFonts w:ascii="仿宋_GB2312" w:hAnsi="仿宋_GB2312" w:cs="仿宋_GB2312" w:eastAsia="仿宋_GB2312"/>
                <w:sz w:val="24"/>
              </w:rPr>
              <w:t>间</w:t>
            </w:r>
            <w:r>
              <w:rPr>
                <w:rFonts w:ascii="仿宋_GB2312" w:hAnsi="仿宋_GB2312" w:cs="仿宋_GB2312" w:eastAsia="仿宋_GB2312"/>
                <w:sz w:val="24"/>
              </w:rPr>
              <w:t>12</w:t>
            </w:r>
            <w:r>
              <w:rPr>
                <w:rFonts w:ascii="仿宋_GB2312" w:hAnsi="仿宋_GB2312" w:cs="仿宋_GB2312" w:eastAsia="仿宋_GB2312"/>
                <w:sz w:val="24"/>
              </w:rPr>
              <w:t>㎡，新建砖混管理房</w:t>
            </w:r>
            <w:r>
              <w:rPr>
                <w:rFonts w:ascii="仿宋_GB2312" w:hAnsi="仿宋_GB2312" w:cs="仿宋_GB2312" w:eastAsia="仿宋_GB2312"/>
                <w:sz w:val="24"/>
              </w:rPr>
              <w:t>1</w:t>
            </w:r>
            <w:r>
              <w:rPr>
                <w:rFonts w:ascii="仿宋_GB2312" w:hAnsi="仿宋_GB2312" w:cs="仿宋_GB2312" w:eastAsia="仿宋_GB2312"/>
                <w:sz w:val="24"/>
              </w:rPr>
              <w:t>间</w:t>
            </w:r>
            <w:r>
              <w:rPr>
                <w:rFonts w:ascii="仿宋_GB2312" w:hAnsi="仿宋_GB2312" w:cs="仿宋_GB2312" w:eastAsia="仿宋_GB2312"/>
                <w:sz w:val="24"/>
              </w:rPr>
              <w:t>62.1</w:t>
            </w:r>
            <w:r>
              <w:rPr>
                <w:rFonts w:ascii="仿宋_GB2312" w:hAnsi="仿宋_GB2312" w:cs="仿宋_GB2312" w:eastAsia="仿宋_GB2312"/>
                <w:sz w:val="24"/>
              </w:rPr>
              <w:t>㎡。详见工程量清单及施工图纸。</w:t>
            </w:r>
          </w:p>
          <w:p>
            <w:pPr>
              <w:pStyle w:val="null3"/>
              <w:spacing w:before="105" w:after="105"/>
              <w:ind w:firstLine="482"/>
              <w:jc w:val="left"/>
            </w:pPr>
            <w:r>
              <w:rPr>
                <w:rFonts w:ascii="仿宋_GB2312" w:hAnsi="仿宋_GB2312" w:cs="仿宋_GB2312" w:eastAsia="仿宋_GB2312"/>
                <w:sz w:val="24"/>
                <w:b/>
              </w:rPr>
              <w:t>二</w:t>
            </w:r>
            <w:r>
              <w:rPr>
                <w:rFonts w:ascii="仿宋_GB2312" w:hAnsi="仿宋_GB2312" w:cs="仿宋_GB2312" w:eastAsia="仿宋_GB2312"/>
                <w:sz w:val="24"/>
                <w:b/>
              </w:rPr>
              <w:t>、编制原则及依据</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编制依据</w:t>
            </w:r>
          </w:p>
          <w:p>
            <w:pPr>
              <w:pStyle w:val="null3"/>
              <w:spacing w:before="105" w:after="105"/>
              <w:ind w:firstLine="480"/>
              <w:jc w:val="left"/>
            </w:pPr>
            <w:r>
              <w:rPr>
                <w:rFonts w:ascii="仿宋_GB2312" w:hAnsi="仿宋_GB2312" w:cs="仿宋_GB2312" w:eastAsia="仿宋_GB2312"/>
                <w:sz w:val="24"/>
              </w:rPr>
              <w:t>清单编制编制主要依据陕西省水利厅【</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107</w:t>
            </w:r>
            <w:r>
              <w:rPr>
                <w:rFonts w:ascii="仿宋_GB2312" w:hAnsi="仿宋_GB2312" w:cs="仿宋_GB2312" w:eastAsia="仿宋_GB2312"/>
                <w:sz w:val="24"/>
              </w:rPr>
              <w:t>号文陕西省水利厅关于发布试行《陕西省水利工程设计概（估）算编制规定》《陕西省水利建筑工程概算定额》（</w:t>
            </w:r>
            <w:r>
              <w:rPr>
                <w:rFonts w:ascii="仿宋_GB2312" w:hAnsi="仿宋_GB2312" w:cs="仿宋_GB2312" w:eastAsia="仿宋_GB2312"/>
                <w:sz w:val="24"/>
              </w:rPr>
              <w:t>2024</w:t>
            </w:r>
            <w:r>
              <w:rPr>
                <w:rFonts w:ascii="仿宋_GB2312" w:hAnsi="仿宋_GB2312" w:cs="仿宋_GB2312" w:eastAsia="仿宋_GB2312"/>
                <w:sz w:val="24"/>
              </w:rPr>
              <w:t>年修整）等计价依据的通知。</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定额依据</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）水利水电建筑工程：采用</w:t>
            </w:r>
            <w:r>
              <w:rPr>
                <w:rFonts w:ascii="仿宋_GB2312" w:hAnsi="仿宋_GB2312" w:cs="仿宋_GB2312" w:eastAsia="仿宋_GB2312"/>
                <w:sz w:val="24"/>
              </w:rPr>
              <w:t>2025</w:t>
            </w:r>
            <w:r>
              <w:rPr>
                <w:rFonts w:ascii="仿宋_GB2312" w:hAnsi="仿宋_GB2312" w:cs="仿宋_GB2312" w:eastAsia="仿宋_GB2312"/>
                <w:sz w:val="24"/>
              </w:rPr>
              <w:t>年颁发的《陕西省水利建筑工程概算定额》（</w:t>
            </w:r>
            <w:r>
              <w:rPr>
                <w:rFonts w:ascii="仿宋_GB2312" w:hAnsi="仿宋_GB2312" w:cs="仿宋_GB2312" w:eastAsia="仿宋_GB2312"/>
                <w:sz w:val="24"/>
              </w:rPr>
              <w:t>2024</w:t>
            </w:r>
            <w:r>
              <w:rPr>
                <w:rFonts w:ascii="仿宋_GB2312" w:hAnsi="仿宋_GB2312" w:cs="仿宋_GB2312" w:eastAsia="仿宋_GB2312"/>
                <w:sz w:val="24"/>
              </w:rPr>
              <w:t>年修正）（上册）、《陕西省水利建筑工程概算定额》（下册）（</w:t>
            </w:r>
            <w:r>
              <w:rPr>
                <w:rFonts w:ascii="仿宋_GB2312" w:hAnsi="仿宋_GB2312" w:cs="仿宋_GB2312" w:eastAsia="仿宋_GB2312"/>
                <w:sz w:val="24"/>
              </w:rPr>
              <w:t>2024</w:t>
            </w:r>
            <w:r>
              <w:rPr>
                <w:rFonts w:ascii="仿宋_GB2312" w:hAnsi="仿宋_GB2312" w:cs="仿宋_GB2312" w:eastAsia="仿宋_GB2312"/>
                <w:sz w:val="24"/>
              </w:rPr>
              <w:t>年修正），作为定额依据进行计算。</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）水利水电施工机械台班费定额：采用</w:t>
            </w:r>
            <w:r>
              <w:rPr>
                <w:rFonts w:ascii="仿宋_GB2312" w:hAnsi="仿宋_GB2312" w:cs="仿宋_GB2312" w:eastAsia="仿宋_GB2312"/>
                <w:sz w:val="24"/>
              </w:rPr>
              <w:t>2025</w:t>
            </w:r>
            <w:r>
              <w:rPr>
                <w:rFonts w:ascii="仿宋_GB2312" w:hAnsi="仿宋_GB2312" w:cs="仿宋_GB2312" w:eastAsia="仿宋_GB2312"/>
                <w:sz w:val="24"/>
              </w:rPr>
              <w:t>年颁发的《陕西省水利工程施工机械台班费定额》（</w:t>
            </w:r>
            <w:r>
              <w:rPr>
                <w:rFonts w:ascii="仿宋_GB2312" w:hAnsi="仿宋_GB2312" w:cs="仿宋_GB2312" w:eastAsia="仿宋_GB2312"/>
                <w:sz w:val="24"/>
              </w:rPr>
              <w:t>2024</w:t>
            </w:r>
            <w:r>
              <w:rPr>
                <w:rFonts w:ascii="仿宋_GB2312" w:hAnsi="仿宋_GB2312" w:cs="仿宋_GB2312" w:eastAsia="仿宋_GB2312"/>
                <w:sz w:val="24"/>
              </w:rPr>
              <w:t>年修正），作为定额依据进行计算。</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临时工程</w:t>
            </w:r>
          </w:p>
          <w:p>
            <w:pPr>
              <w:pStyle w:val="null3"/>
              <w:spacing w:before="105" w:after="105"/>
              <w:ind w:firstLine="480"/>
              <w:jc w:val="left"/>
            </w:pPr>
            <w:r>
              <w:rPr>
                <w:rFonts w:ascii="仿宋_GB2312" w:hAnsi="仿宋_GB2312" w:cs="仿宋_GB2312" w:eastAsia="仿宋_GB2312"/>
                <w:sz w:val="24"/>
              </w:rPr>
              <w:t>临时工程费：按照建安费的</w:t>
            </w:r>
            <w:r>
              <w:rPr>
                <w:rFonts w:ascii="仿宋_GB2312" w:hAnsi="仿宋_GB2312" w:cs="仿宋_GB2312" w:eastAsia="仿宋_GB2312"/>
                <w:sz w:val="24"/>
              </w:rPr>
              <w:t>2%</w:t>
            </w:r>
            <w:r>
              <w:rPr>
                <w:rFonts w:ascii="仿宋_GB2312" w:hAnsi="仿宋_GB2312" w:cs="仿宋_GB2312" w:eastAsia="仿宋_GB2312"/>
                <w:sz w:val="24"/>
              </w:rPr>
              <w:t>计算。</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备用金</w:t>
            </w:r>
          </w:p>
          <w:p>
            <w:pPr>
              <w:pStyle w:val="null3"/>
              <w:spacing w:before="105" w:after="105"/>
              <w:ind w:firstLine="480"/>
              <w:jc w:val="left"/>
            </w:pPr>
            <w:r>
              <w:rPr>
                <w:rFonts w:ascii="仿宋_GB2312" w:hAnsi="仿宋_GB2312" w:cs="仿宋_GB2312" w:eastAsia="仿宋_GB2312"/>
                <w:sz w:val="24"/>
              </w:rPr>
              <w:t>备用金：按照工程费用的</w:t>
            </w:r>
            <w:r>
              <w:rPr>
                <w:rFonts w:ascii="仿宋_GB2312" w:hAnsi="仿宋_GB2312" w:cs="仿宋_GB2312" w:eastAsia="仿宋_GB2312"/>
                <w:sz w:val="24"/>
              </w:rPr>
              <w:t>5%</w:t>
            </w:r>
            <w:r>
              <w:rPr>
                <w:rFonts w:ascii="仿宋_GB2312" w:hAnsi="仿宋_GB2312" w:cs="仿宋_GB2312" w:eastAsia="仿宋_GB2312"/>
                <w:sz w:val="24"/>
              </w:rPr>
              <w:t>计算。</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编制软件</w:t>
            </w:r>
          </w:p>
          <w:p>
            <w:pPr>
              <w:pStyle w:val="null3"/>
              <w:spacing w:before="105" w:after="105"/>
              <w:ind w:firstLine="480"/>
              <w:jc w:val="left"/>
            </w:pPr>
            <w:r>
              <w:rPr>
                <w:rFonts w:ascii="仿宋_GB2312" w:hAnsi="仿宋_GB2312" w:cs="仿宋_GB2312" w:eastAsia="仿宋_GB2312"/>
                <w:sz w:val="24"/>
              </w:rPr>
              <w:t>采用陕西省水利水电工程易投造价软件。</w:t>
            </w:r>
          </w:p>
          <w:p>
            <w:pPr>
              <w:pStyle w:val="null3"/>
              <w:spacing w:before="105" w:after="105"/>
              <w:ind w:firstLine="482"/>
              <w:jc w:val="left"/>
            </w:pPr>
            <w:r>
              <w:rPr>
                <w:rFonts w:ascii="仿宋_GB2312" w:hAnsi="仿宋_GB2312" w:cs="仿宋_GB2312" w:eastAsia="仿宋_GB2312"/>
                <w:sz w:val="24"/>
                <w:b/>
              </w:rPr>
              <w:t>三、工期</w:t>
            </w:r>
          </w:p>
          <w:p>
            <w:pPr>
              <w:pStyle w:val="null3"/>
              <w:spacing w:before="105" w:after="105"/>
              <w:ind w:firstLine="480"/>
              <w:jc w:val="left"/>
            </w:pPr>
            <w:r>
              <w:rPr>
                <w:rFonts w:ascii="仿宋_GB2312" w:hAnsi="仿宋_GB2312" w:cs="仿宋_GB2312" w:eastAsia="仿宋_GB2312"/>
                <w:sz w:val="24"/>
              </w:rPr>
              <w:t>自合同签订生效之日起</w:t>
            </w:r>
            <w:r>
              <w:rPr>
                <w:rFonts w:ascii="仿宋_GB2312" w:hAnsi="仿宋_GB2312" w:cs="仿宋_GB2312" w:eastAsia="仿宋_GB2312"/>
                <w:sz w:val="24"/>
              </w:rPr>
              <w:t>40</w:t>
            </w:r>
            <w:r>
              <w:rPr>
                <w:rFonts w:ascii="仿宋_GB2312" w:hAnsi="仿宋_GB2312" w:cs="仿宋_GB2312" w:eastAsia="仿宋_GB2312"/>
                <w:sz w:val="24"/>
              </w:rPr>
              <w:t>日历日。</w:t>
            </w:r>
          </w:p>
          <w:p>
            <w:pPr>
              <w:pStyle w:val="null3"/>
              <w:spacing w:before="105" w:after="105"/>
              <w:ind w:firstLine="482"/>
              <w:jc w:val="left"/>
            </w:pPr>
            <w:r>
              <w:rPr>
                <w:rFonts w:ascii="仿宋_GB2312" w:hAnsi="仿宋_GB2312" w:cs="仿宋_GB2312" w:eastAsia="仿宋_GB2312"/>
                <w:sz w:val="24"/>
                <w:b/>
              </w:rPr>
              <w:t>四、其他</w:t>
            </w:r>
          </w:p>
          <w:p>
            <w:pPr>
              <w:pStyle w:val="null3"/>
              <w:spacing w:before="105" w:after="105"/>
              <w:ind w:firstLine="480"/>
              <w:jc w:val="left"/>
            </w:pPr>
            <w:r>
              <w:rPr>
                <w:rFonts w:ascii="仿宋_GB2312" w:hAnsi="仿宋_GB2312" w:cs="仿宋_GB2312" w:eastAsia="仿宋_GB2312"/>
                <w:sz w:val="24"/>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电子版U盘贰份。若电子响应文件与纸质响应文件不一致的，以电子响应文件为准；若正本和副本不符，以正本为准。响应文件正、副本分别各自装订成册密封，电子版U盘与正本一起密封。在封口处加盖供应商公章。 2.递交截止时间同在线递交电子响应文件截止时间一致。线下递交文件地点：陕西省西安市雁塔区科技西路绿地鸿海大厦A座11806室。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提供注册登记凭证（营业执照或其他组织经营的合法凭证或自然人的提供身份证明文件）；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供应商须具备建设行政主管部门颁发的水利水电工程施工总承包三级及以上资质，并具有有效的安全生产许可证；并在人员、设备、资金等方面具备相应的能力；</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拟派项目经理须具备有效的的水利水电工程专业二级及以上建造师注册证，具备水利行政主管部门颁发的安全生产考核合格证（B证），且在本单位注册，无在建工程，且无不良记录；</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提供响应文件递交截止日前一年内已缴存的至少一个月的社会保障资金的凭据（专用收据或社会保险缴纳清单），依法不需要缴纳社会保障资金的单位应提供相关证明材料；</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未被列入“中国执行信息公开网”（https://zxgk.court.gov.cn/）失信被执行人名单，未被列入“信用中国”网站（https://www.creditchina.gov.cn/）重大税收违法失信主体名单，未被列入“中国政府采购网”（http://www.ccgp.gov.cn/） 政府采购严重违法失信行为记录名单；（提供承诺书，格式自拟。）</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供应商提供的相关资格证明材料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供应商认为有必要提供的其他材料 报价函 服务方案 陕西省政府采购供应商拒绝政府采购领域商业贿赂承诺书 标的清单 响应函 监狱企业的证明文件 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报价函 供应商认为有必要提供的其他材料 服务方案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报价函 供应商认为有必要提供的其他材料 服务方案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报价函 供应商认为有必要提供的其他材料 服务方案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报价函 供应商认为有必要提供的其他材料 服务方案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报价函 供应商认为有必要提供的其他材料 服务方案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残疾人福利性单位声明函 报价函 供应商认为有必要提供的其他材料 服务方案 标的清单 陕西省政府采购供应商拒绝政府采购领域商业贿赂承诺书 响应函 监狱企业的证明文件 供应商提供的相关资格证明材料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施工方案1</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施工方案2</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项目管理机构组织结构合理，技术人员配置（专职安全员、施工员、资料员、质量员、材料员等）齐全，责任明确； 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提供2022年1月1日至截标时间前类似项目业绩（以合同或中标通知书为准，须在磋商响应文件中附以上证明材料的扫描件加盖单位公章），每份合格业绩合同计2分，满分10分。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详见附件：供应商认为有必要提供的其他材料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