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版本号：GXZB2025-093Z20251104001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五台街道2025年美丽村庄片区项目设计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GXZB2025-093Z</w:t>
      </w:r>
      <w:r>
        <w:br/>
      </w:r>
      <w:r>
        <w:br/>
      </w:r>
      <w:r>
        <w:br/>
      </w:r>
    </w:p>
    <w:p>
      <w:pPr>
        <w:pStyle w:val="null3"/>
        <w:jc w:val="center"/>
        <w:outlineLvl w:val="2"/>
      </w:pPr>
      <w:r>
        <w:rPr>
          <w:rFonts w:ascii="仿宋_GB2312" w:hAnsi="仿宋_GB2312" w:cs="仿宋_GB2312" w:eastAsia="仿宋_GB2312"/>
          <w:sz w:val="28"/>
          <w:b/>
        </w:rPr>
        <w:t>西安市长安区五台街道办事处</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西安市长安区五台街道办事处</w:t>
      </w:r>
      <w:r>
        <w:rPr>
          <w:rFonts w:ascii="仿宋_GB2312" w:hAnsi="仿宋_GB2312" w:cs="仿宋_GB2312" w:eastAsia="仿宋_GB2312"/>
        </w:rPr>
        <w:t>委托，拟对</w:t>
      </w:r>
      <w:r>
        <w:rPr>
          <w:rFonts w:ascii="仿宋_GB2312" w:hAnsi="仿宋_GB2312" w:cs="仿宋_GB2312" w:eastAsia="仿宋_GB2312"/>
        </w:rPr>
        <w:t>五台街道2025年美丽村庄片区项目设计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GXZB2025-093Z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五台街道2025年美丽村庄片区项目设计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本项目拟对五台街道2025年美丽村庄片区项目设计，具体详见竞争性磋商文件。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采购包1（五台街道2025年美丽村庄片区项目设计）：属于专门面向中小企业采购。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应授权合法的人员参加投标全过程，法定代表人直接参加磋商的须提供其法定代表人身份证，法定代表人授权代表参加投标的，须出具法定代表人授权书及被授权人在本单位的社保缴纳证明；</w:t>
      </w:r>
    </w:p>
    <w:p>
      <w:pPr>
        <w:pStyle w:val="null3"/>
      </w:pPr>
      <w:r>
        <w:rPr>
          <w:rFonts w:ascii="仿宋_GB2312" w:hAnsi="仿宋_GB2312" w:cs="仿宋_GB2312" w:eastAsia="仿宋_GB2312"/>
        </w:rPr>
        <w:t>2、企业资质：供应商须具有建设行政主管部门核发的工程设计综合甲级资质或建筑行业设计乙级及以上资质；</w:t>
      </w:r>
    </w:p>
    <w:p>
      <w:pPr>
        <w:pStyle w:val="null3"/>
      </w:pPr>
      <w:r>
        <w:rPr>
          <w:rFonts w:ascii="仿宋_GB2312" w:hAnsi="仿宋_GB2312" w:cs="仿宋_GB2312" w:eastAsia="仿宋_GB2312"/>
        </w:rPr>
        <w:t>3、拟派项目负责人：拟派项目设计负责人须具备国家一级注册建筑师执业资格；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西安市长安区五台街道办事处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陕西省西安市长安区五台街道留村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西安市长安区五台街道办事处经办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15209291204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张晓筱、高丹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李林毅</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西安市长安区五台街道办事处</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西安市长安区五台街道办事处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西安市长安区五台街道办事处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联系人：张晓筱、高丹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本项目拟对五台街道2025年美丽村庄片区项目设计进行采购，具体详见采购文件。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333,200.00</w:t>
      </w:r>
    </w:p>
    <w:p>
      <w:pPr>
        <w:pStyle w:val="null3"/>
      </w:pPr>
      <w:r>
        <w:rPr>
          <w:rFonts w:ascii="仿宋_GB2312" w:hAnsi="仿宋_GB2312" w:cs="仿宋_GB2312" w:eastAsia="仿宋_GB2312"/>
        </w:rPr>
        <w:t>采购包最高限价（元）: 333,200.00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五台街道2025年美丽村庄片区项目设计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标的名称：五台街道2025年美丽村庄片区项目设计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1、设计范围</w:t>
            </w:r>
          </w:p>
          <w:p>
            <w:pPr>
              <w:pStyle w:val="null3"/>
              <w:ind w:firstLine="400"/>
            </w:pPr>
            <w:r>
              <w:rPr>
                <w:rFonts w:ascii="仿宋_GB2312" w:hAnsi="仿宋_GB2312" w:cs="仿宋_GB2312" w:eastAsia="仿宋_GB2312"/>
                <w:sz w:val="20"/>
              </w:rPr>
              <w:t>本次规划涵盖五台街道</w:t>
            </w:r>
            <w:r>
              <w:rPr>
                <w:rFonts w:ascii="仿宋_GB2312" w:hAnsi="仿宋_GB2312" w:cs="仿宋_GB2312" w:eastAsia="仿宋_GB2312"/>
                <w:sz w:val="20"/>
              </w:rPr>
              <w:t>8个村，分别为东甘村、华家新村、新农村、星火村、石砭峪新村、留村、西尧村、团结村;主要内容包括沿线道路景观及乡村产业规划设计。</w:t>
            </w:r>
          </w:p>
          <w:p>
            <w:pPr>
              <w:pStyle w:val="null3"/>
            </w:pPr>
            <w:r>
              <w:rPr>
                <w:rFonts w:ascii="仿宋_GB2312" w:hAnsi="仿宋_GB2312" w:cs="仿宋_GB2312" w:eastAsia="仿宋_GB2312"/>
                <w:sz w:val="20"/>
              </w:rPr>
              <w:t>2、设计内容</w:t>
            </w:r>
          </w:p>
          <w:p>
            <w:pPr>
              <w:pStyle w:val="null3"/>
              <w:ind w:firstLine="400"/>
            </w:pPr>
            <w:r>
              <w:rPr>
                <w:rFonts w:ascii="仿宋_GB2312" w:hAnsi="仿宋_GB2312" w:cs="仿宋_GB2312" w:eastAsia="仿宋_GB2312"/>
                <w:sz w:val="20"/>
              </w:rPr>
              <w:t>种植乔木</w:t>
            </w:r>
            <w:r>
              <w:rPr>
                <w:rFonts w:ascii="仿宋_GB2312" w:hAnsi="仿宋_GB2312" w:cs="仿宋_GB2312" w:eastAsia="仿宋_GB2312"/>
                <w:sz w:val="20"/>
              </w:rPr>
              <w:t>65株、灌木3364</w:t>
            </w:r>
            <w:r>
              <w:rPr>
                <w:rFonts w:ascii="仿宋_GB2312" w:hAnsi="仿宋_GB2312" w:cs="仿宋_GB2312" w:eastAsia="仿宋_GB2312"/>
                <w:sz w:val="20"/>
              </w:rPr>
              <w:t>m</w:t>
            </w:r>
            <w:r>
              <w:rPr>
                <w:rFonts w:ascii="仿宋_GB2312" w:hAnsi="仿宋_GB2312" w:cs="仿宋_GB2312" w:eastAsia="仿宋_GB2312"/>
                <w:sz w:val="20"/>
                <w:vertAlign w:val="superscript"/>
              </w:rPr>
              <w:t>2</w:t>
            </w:r>
            <w:r>
              <w:rPr>
                <w:rFonts w:ascii="仿宋_GB2312" w:hAnsi="仿宋_GB2312" w:cs="仿宋_GB2312" w:eastAsia="仿宋_GB2312"/>
                <w:sz w:val="20"/>
              </w:rPr>
              <w:t>，木平台一铺装</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9m</w:t>
            </w:r>
            <w:r>
              <w:rPr>
                <w:rFonts w:ascii="仿宋_GB2312" w:hAnsi="仿宋_GB2312" w:cs="仿宋_GB2312" w:eastAsia="仿宋_GB2312"/>
                <w:sz w:val="20"/>
                <w:vertAlign w:val="superscript"/>
              </w:rPr>
              <w:t>2</w:t>
            </w:r>
            <w:r>
              <w:rPr>
                <w:rFonts w:ascii="仿宋_GB2312" w:hAnsi="仿宋_GB2312" w:cs="仿宋_GB2312" w:eastAsia="仿宋_GB2312"/>
                <w:sz w:val="20"/>
              </w:rPr>
              <w:t>，木平台二铺装</w:t>
            </w:r>
            <w:r>
              <w:rPr>
                <w:rFonts w:ascii="仿宋_GB2312" w:hAnsi="仿宋_GB2312" w:cs="仿宋_GB2312" w:eastAsia="仿宋_GB2312"/>
                <w:sz w:val="20"/>
              </w:rPr>
              <w:t>669.78m</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木平台三铺装</w:t>
            </w:r>
            <w:r>
              <w:rPr>
                <w:rFonts w:ascii="仿宋_GB2312" w:hAnsi="仿宋_GB2312" w:cs="仿宋_GB2312" w:eastAsia="仿宋_GB2312"/>
                <w:sz w:val="20"/>
              </w:rPr>
              <w:t>344.32m</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木栏杆</w:t>
            </w:r>
            <w:r>
              <w:rPr>
                <w:rFonts w:ascii="仿宋_GB2312" w:hAnsi="仿宋_GB2312" w:cs="仿宋_GB2312" w:eastAsia="仿宋_GB2312"/>
                <w:sz w:val="20"/>
              </w:rPr>
              <w:t>224.96m</w:t>
            </w:r>
            <w:r>
              <w:rPr>
                <w:rFonts w:ascii="仿宋_GB2312" w:hAnsi="仿宋_GB2312" w:cs="仿宋_GB2312" w:eastAsia="仿宋_GB2312"/>
                <w:sz w:val="20"/>
              </w:rPr>
              <w:t>，</w:t>
            </w:r>
            <w:r>
              <w:rPr>
                <w:rFonts w:ascii="仿宋_GB2312" w:hAnsi="仿宋_GB2312" w:cs="仿宋_GB2312" w:eastAsia="仿宋_GB2312"/>
                <w:sz w:val="20"/>
              </w:rPr>
              <w:t>瞭望台</w:t>
            </w:r>
            <w:r>
              <w:rPr>
                <w:rFonts w:ascii="仿宋_GB2312" w:hAnsi="仿宋_GB2312" w:cs="仿宋_GB2312" w:eastAsia="仿宋_GB2312"/>
                <w:sz w:val="20"/>
              </w:rPr>
              <w:t>1座</w:t>
            </w:r>
            <w:r>
              <w:rPr>
                <w:rFonts w:ascii="仿宋_GB2312" w:hAnsi="仿宋_GB2312" w:cs="仿宋_GB2312" w:eastAsia="仿宋_GB2312"/>
                <w:sz w:val="20"/>
              </w:rPr>
              <w:t>，</w:t>
            </w:r>
            <w:r>
              <w:rPr>
                <w:rFonts w:ascii="仿宋_GB2312" w:hAnsi="仿宋_GB2312" w:cs="仿宋_GB2312" w:eastAsia="仿宋_GB2312"/>
                <w:sz w:val="20"/>
              </w:rPr>
              <w:t>打卡相框</w:t>
            </w:r>
            <w:r>
              <w:rPr>
                <w:rFonts w:ascii="仿宋_GB2312" w:hAnsi="仿宋_GB2312" w:cs="仿宋_GB2312" w:eastAsia="仿宋_GB2312"/>
                <w:sz w:val="20"/>
              </w:rPr>
              <w:t>2座</w:t>
            </w:r>
            <w:r>
              <w:rPr>
                <w:rFonts w:ascii="仿宋_GB2312" w:hAnsi="仿宋_GB2312" w:cs="仿宋_GB2312" w:eastAsia="仿宋_GB2312"/>
                <w:sz w:val="20"/>
              </w:rPr>
              <w:t>，</w:t>
            </w:r>
            <w:r>
              <w:rPr>
                <w:rFonts w:ascii="仿宋_GB2312" w:hAnsi="仿宋_GB2312" w:cs="仿宋_GB2312" w:eastAsia="仿宋_GB2312"/>
                <w:sz w:val="20"/>
              </w:rPr>
              <w:t>景架</w:t>
            </w:r>
            <w:r>
              <w:rPr>
                <w:rFonts w:ascii="仿宋_GB2312" w:hAnsi="仿宋_GB2312" w:cs="仿宋_GB2312" w:eastAsia="仿宋_GB2312"/>
                <w:sz w:val="20"/>
              </w:rPr>
              <w:t>3座</w:t>
            </w:r>
            <w:r>
              <w:rPr>
                <w:rFonts w:ascii="仿宋_GB2312" w:hAnsi="仿宋_GB2312" w:cs="仿宋_GB2312" w:eastAsia="仿宋_GB2312"/>
                <w:sz w:val="20"/>
              </w:rPr>
              <w:t>，</w:t>
            </w:r>
            <w:r>
              <w:rPr>
                <w:rFonts w:ascii="仿宋_GB2312" w:hAnsi="仿宋_GB2312" w:cs="仿宋_GB2312" w:eastAsia="仿宋_GB2312"/>
                <w:sz w:val="20"/>
              </w:rPr>
              <w:t>特色景墙</w:t>
            </w:r>
            <w:r>
              <w:rPr>
                <w:rFonts w:ascii="仿宋_GB2312" w:hAnsi="仿宋_GB2312" w:cs="仿宋_GB2312" w:eastAsia="仿宋_GB2312"/>
                <w:sz w:val="20"/>
              </w:rPr>
              <w:t>2座</w:t>
            </w:r>
            <w:r>
              <w:rPr>
                <w:rFonts w:ascii="仿宋_GB2312" w:hAnsi="仿宋_GB2312" w:cs="仿宋_GB2312" w:eastAsia="仿宋_GB2312"/>
                <w:sz w:val="20"/>
              </w:rPr>
              <w:t>，</w:t>
            </w:r>
            <w:r>
              <w:rPr>
                <w:rFonts w:ascii="仿宋_GB2312" w:hAnsi="仿宋_GB2312" w:cs="仿宋_GB2312" w:eastAsia="仿宋_GB2312"/>
                <w:sz w:val="20"/>
              </w:rPr>
              <w:t>景墙</w:t>
            </w:r>
            <w:r>
              <w:rPr>
                <w:rFonts w:ascii="仿宋_GB2312" w:hAnsi="仿宋_GB2312" w:cs="仿宋_GB2312" w:eastAsia="仿宋_GB2312"/>
                <w:sz w:val="20"/>
              </w:rPr>
              <w:t>3座</w:t>
            </w:r>
            <w:r>
              <w:rPr>
                <w:rFonts w:ascii="仿宋_GB2312" w:hAnsi="仿宋_GB2312" w:cs="仿宋_GB2312" w:eastAsia="仿宋_GB2312"/>
                <w:sz w:val="20"/>
              </w:rPr>
              <w:t>，</w:t>
            </w:r>
            <w:r>
              <w:rPr>
                <w:rFonts w:ascii="仿宋_GB2312" w:hAnsi="仿宋_GB2312" w:cs="仿宋_GB2312" w:eastAsia="仿宋_GB2312"/>
                <w:sz w:val="20"/>
              </w:rPr>
              <w:t>候车廊架基础及立面地面铺装</w:t>
            </w:r>
            <w:r>
              <w:rPr>
                <w:rFonts w:ascii="仿宋_GB2312" w:hAnsi="仿宋_GB2312" w:cs="仿宋_GB2312" w:eastAsia="仿宋_GB2312"/>
                <w:sz w:val="20"/>
              </w:rPr>
              <w:t>，</w:t>
            </w:r>
            <w:r>
              <w:rPr>
                <w:rFonts w:ascii="仿宋_GB2312" w:hAnsi="仿宋_GB2312" w:cs="仿宋_GB2312" w:eastAsia="仿宋_GB2312"/>
                <w:sz w:val="20"/>
              </w:rPr>
              <w:t>人行道铺装</w:t>
            </w:r>
            <w:r>
              <w:rPr>
                <w:rFonts w:ascii="仿宋_GB2312" w:hAnsi="仿宋_GB2312" w:cs="仿宋_GB2312" w:eastAsia="仿宋_GB2312"/>
                <w:sz w:val="20"/>
              </w:rPr>
              <w:t>6.24m</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雕塑</w:t>
            </w:r>
            <w:r>
              <w:rPr>
                <w:rFonts w:ascii="仿宋_GB2312" w:hAnsi="仿宋_GB2312" w:cs="仿宋_GB2312" w:eastAsia="仿宋_GB2312"/>
                <w:sz w:val="20"/>
              </w:rPr>
              <w:t>2个</w:t>
            </w:r>
            <w:r>
              <w:rPr>
                <w:rFonts w:ascii="仿宋_GB2312" w:hAnsi="仿宋_GB2312" w:cs="仿宋_GB2312" w:eastAsia="仿宋_GB2312"/>
                <w:sz w:val="20"/>
              </w:rPr>
              <w:t>。</w:t>
            </w:r>
          </w:p>
          <w:p>
            <w:pPr>
              <w:pStyle w:val="null3"/>
            </w:pPr>
            <w:r>
              <w:rPr>
                <w:rFonts w:ascii="仿宋_GB2312" w:hAnsi="仿宋_GB2312" w:cs="仿宋_GB2312" w:eastAsia="仿宋_GB2312"/>
                <w:sz w:val="20"/>
              </w:rPr>
              <w:t>3、设计要求</w:t>
            </w:r>
          </w:p>
          <w:p>
            <w:pPr>
              <w:pStyle w:val="null3"/>
            </w:pPr>
            <w:r>
              <w:rPr>
                <w:rFonts w:ascii="仿宋_GB2312" w:hAnsi="仿宋_GB2312" w:cs="仿宋_GB2312" w:eastAsia="仿宋_GB2312"/>
                <w:sz w:val="20"/>
              </w:rPr>
              <w:t>3.1工作方案</w:t>
            </w:r>
          </w:p>
          <w:p>
            <w:pPr>
              <w:pStyle w:val="null3"/>
            </w:pPr>
            <w:r>
              <w:rPr>
                <w:rFonts w:ascii="仿宋_GB2312" w:hAnsi="仿宋_GB2312" w:cs="仿宋_GB2312" w:eastAsia="仿宋_GB2312"/>
                <w:sz w:val="20"/>
              </w:rPr>
              <w:t>3.1.1设计方将组织技术力量，在项目策划、方案设计、初步设计和施工图设计阶段按业主要求做好技术服务，措施如下：</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1）协助采购人做好方案报批工作，并提供相应资料。</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2）通过现场踏勘了解本工程位置的基本情况，使工程设计方案达到设计合理。</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3）在重大问题的决策上，充分听取采购人意见，在规范许可范围内尽量满足甲方要求。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4）积极参加各阶段设计方案评审、批报、修改工作。</w:t>
            </w:r>
          </w:p>
          <w:p>
            <w:pPr>
              <w:pStyle w:val="null3"/>
            </w:pPr>
            <w:r>
              <w:rPr>
                <w:rFonts w:ascii="仿宋_GB2312" w:hAnsi="仿宋_GB2312" w:cs="仿宋_GB2312" w:eastAsia="仿宋_GB2312"/>
                <w:sz w:val="20"/>
              </w:rPr>
              <w:t>3.1.2.服务期间的配合承诺</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1）按投标承诺时间认真安排设计工作计划，为使本项目按计划顺利进行，设计方将全力保证参加本项目的主要设计人员按投标承诺工作到位，不随意更换，并相互协调工作。</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2）项目组人员均需具备服务意识，各负其责做好本专业工作，使参加本项目的每一位成员既技术过硬，作风正派，又具备市场意识，能时刻为业主利益着想，高质量完成设计。</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3）项目设计组配备足够的人力，协助采购人收集设计所需的原始资料，积极尽早与相关部门协调有关问题和资料，使基础资料齐全，保证设计按计划展开。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拟投入本项目组成员须有一级注册建筑师证书或建筑相关专业高级工程师证。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西安市长安区南部。</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1、其他未列明行业。从业人员 300 人以下的为中小微型企业。其中从业人员 100 人及以上的为中型企业；从业人员 10 人及以上的为小型企业；从业人员 10 人及以下的为为微型企业。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资格证明.pdf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 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资格证明.pdf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供应商应授权合法的人员参加投标全过程，法定代表人直接参加磋商的须提供其法定代表人身份证，法定代表人授权代表参加投标的，须出具法定代表人授权书及被授权人在本单位的社保缴纳证明；</w:t>
            </w:r>
          </w:p>
        </w:tc>
        <w:tc>
          <w:tcPr>
            <w:tcW w:type="dxa" w:w="1661"/>
          </w:tcPr>
          <w:p>
            <w:pPr>
              <w:pStyle w:val="null3"/>
            </w:pPr>
            <w:r>
              <w:rPr>
                <w:rFonts w:ascii="仿宋_GB2312" w:hAnsi="仿宋_GB2312" w:cs="仿宋_GB2312" w:eastAsia="仿宋_GB2312"/>
              </w:rPr>
              <w:t>资格证明.pdf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供应商须具有建设行政主管部门核发的工程设计综合甲级资质或建筑行业设计乙级及以上资质；</w:t>
            </w:r>
          </w:p>
        </w:tc>
        <w:tc>
          <w:tcPr>
            <w:tcW w:type="dxa" w:w="1661"/>
          </w:tcPr>
          <w:p>
            <w:pPr>
              <w:pStyle w:val="null3"/>
            </w:pPr>
            <w:r>
              <w:rPr>
                <w:rFonts w:ascii="仿宋_GB2312" w:hAnsi="仿宋_GB2312" w:cs="仿宋_GB2312" w:eastAsia="仿宋_GB2312"/>
              </w:rPr>
              <w:t>资格证明.pdf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拟派项目设计负责人须具备国家一级注册建筑师执业资格；</w:t>
            </w:r>
          </w:p>
        </w:tc>
        <w:tc>
          <w:tcPr>
            <w:tcW w:type="dxa" w:w="1661"/>
          </w:tcPr>
          <w:p>
            <w:pPr>
              <w:pStyle w:val="null3"/>
            </w:pPr>
            <w:r>
              <w:rPr>
                <w:rFonts w:ascii="仿宋_GB2312" w:hAnsi="仿宋_GB2312" w:cs="仿宋_GB2312" w:eastAsia="仿宋_GB2312"/>
              </w:rPr>
              <w:t>资格证明.pdf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报价一览表.pdf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磋商内容、响应文件的签署、盖章、磋商报价、磋商有效期、工期、付款方式</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3、磋商报价是否唯一，且没有超过最高限价；4、磋商有效期是否满足要求；5、服务期是否满足要求；6、付款方式是否完全响应。</w:t>
            </w:r>
          </w:p>
        </w:tc>
        <w:tc>
          <w:tcPr>
            <w:tcW w:type="dxa" w:w="1661"/>
          </w:tcPr>
          <w:p>
            <w:pPr>
              <w:pStyle w:val="null3"/>
            </w:pPr>
            <w:r>
              <w:rPr>
                <w:rFonts w:ascii="仿宋_GB2312" w:hAnsi="仿宋_GB2312" w:cs="仿宋_GB2312" w:eastAsia="仿宋_GB2312"/>
              </w:rPr>
              <w:t>商务条款偏离表.pdf 中小企业声明函 报价一览表.pdf 报价表 业绩.pdf 响应文件封面 拒绝政府采购领域商业贿赂承诺书.pdf 资格证明.pdf 残疾人福利性单位声明函 服务方案 标的清单 响应函 供应商认为有必要补充说明的事宜.pdf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根据各供应商提供的对项目的分析响应情况进行评审，每个评审因素最高得3分，本项最高得9分。 1.评审因素： ①项目现状背景分析；②项目总体设计思路；③项目需求理解分析。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根据各供应商提供的对项目的服务方案响应情况进行评审，每个评审因素最高得6分，本项最高得30分。 1.评审因素： ①整体设计理念；②工作计划；③目标定位分析；④重难点分析；⑤解决策略与方案。 2.每个评审因素的评审标准为: ①方案完全满足且有优于设计要求的得6分； ②方案完全满足设计要求的得3分；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设计团队组织管理方案</w:t>
            </w:r>
          </w:p>
        </w:tc>
        <w:tc>
          <w:tcPr>
            <w:tcW w:type="dxa" w:w="2492"/>
          </w:tcPr>
          <w:p>
            <w:pPr>
              <w:pStyle w:val="null3"/>
            </w:pPr>
            <w:r>
              <w:rPr>
                <w:rFonts w:ascii="仿宋_GB2312" w:hAnsi="仿宋_GB2312" w:cs="仿宋_GB2312" w:eastAsia="仿宋_GB2312"/>
              </w:rPr>
              <w:t>根据各供应商提供的对项目的设计团队组织管理方案响应情况进行评审，每个评审因素最高得3分，本项最高得9分。 1.评审因素： ①项目管理机构设置及职责分工；②日常管理制度；③设计服务各方协调管理。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设计进度方案</w:t>
            </w:r>
          </w:p>
        </w:tc>
        <w:tc>
          <w:tcPr>
            <w:tcW w:type="dxa" w:w="2492"/>
          </w:tcPr>
          <w:p>
            <w:pPr>
              <w:pStyle w:val="null3"/>
            </w:pPr>
            <w:r>
              <w:rPr>
                <w:rFonts w:ascii="仿宋_GB2312" w:hAnsi="仿宋_GB2312" w:cs="仿宋_GB2312" w:eastAsia="仿宋_GB2312"/>
              </w:rPr>
              <w:t>根据各供应商提供的对项目的设计进度方案响应情况进行评审，每个评审因素最高得3分，本项最高得6分。 1.评审因素： ①设计进度计划安排；②设计进度控制措施。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设计质量控制措施</w:t>
            </w:r>
          </w:p>
        </w:tc>
        <w:tc>
          <w:tcPr>
            <w:tcW w:type="dxa" w:w="2492"/>
          </w:tcPr>
          <w:p>
            <w:pPr>
              <w:pStyle w:val="null3"/>
            </w:pPr>
            <w:r>
              <w:rPr>
                <w:rFonts w:ascii="仿宋_GB2312" w:hAnsi="仿宋_GB2312" w:cs="仿宋_GB2312" w:eastAsia="仿宋_GB2312"/>
              </w:rPr>
              <w:t>根据各供应商提供的对项目的设计质量控制措施响应情况进行评审，每个评审因素最高得3分，本项最高得12分。 1.评审因素： ①本项目设计质量目标分析；②各专业设计质量控制计划及管理措施；③设计质量保证体系；④后续服务保障体系。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根据各供应商提供的对项目的后期服务方案响应情况进行评审，每个评审因素最高得4分，本项最高得12分。 1.评审因素： ①后期服务内容及措施；②后期服务便利性；③后期服务承诺。 2.每个评审因素的评审标准为: ①方案完全满足且有优于设计要求的得4分；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拟投入本项目组成员每有 1 名一级注册建筑师证书或建筑相关专业高级工程师证，得 2 分，最高得 6 分。 注：以上专业人员均需提供相关的证明材料，未提供不得分。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 2022 年 10 月 01 日至今的类似项目业绩，每提供一个计 2 分，满分 6 分。注：须提供中标通知书或合同（协议）复印件并加盖公章，以中标通知书或合同（协议）签订时间为准，不提供者不计分。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报价一览表.pdf</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详见附件：资格证明.pdf</w:t>
      </w:r>
    </w:p>
    <w:p>
      <w:pPr>
        <w:pStyle w:val="null3"/>
        <w:ind w:firstLine="960"/>
      </w:pPr>
      <w:r>
        <w:rPr>
          <w:rFonts w:ascii="仿宋_GB2312" w:hAnsi="仿宋_GB2312" w:cs="仿宋_GB2312" w:eastAsia="仿宋_GB2312"/>
        </w:rPr>
        <w:t>详见附件：供应商认为有必要补充说明的事宜.pdf</w:t>
      </w:r>
    </w:p>
    <w:p>
      <w:pPr>
        <w:pStyle w:val="null3"/>
        <w:ind w:firstLine="960"/>
      </w:pPr>
      <w:r>
        <w:rPr>
          <w:rFonts w:ascii="仿宋_GB2312" w:hAnsi="仿宋_GB2312" w:cs="仿宋_GB2312" w:eastAsia="仿宋_GB2312"/>
        </w:rPr>
        <w:t>详见附件：报价一览表.pdf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