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版本号：LZBD2025-1773.20251203001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麻醉手术室第10间改造及第11间地胶铺设(二次)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LZBD2025-1773.</w:t>
      </w:r>
      <w:r>
        <w:br/>
      </w:r>
      <w:r>
        <w:br/>
      </w:r>
      <w:r>
        <w:br/>
      </w:r>
    </w:p>
    <w:p>
      <w:pPr>
        <w:pStyle w:val="null3"/>
        <w:jc w:val="center"/>
        <w:outlineLvl w:val="2"/>
      </w:pPr>
      <w:r>
        <w:rPr>
          <w:rFonts w:ascii="仿宋_GB2312" w:hAnsi="仿宋_GB2312" w:cs="仿宋_GB2312" w:eastAsia="仿宋_GB2312"/>
          <w:sz w:val="28"/>
          <w:b/>
        </w:rPr>
        <w:t>西安市长安区医院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西安市长安区医院</w:t>
      </w:r>
      <w:r>
        <w:rPr>
          <w:rFonts w:ascii="仿宋_GB2312" w:hAnsi="仿宋_GB2312" w:cs="仿宋_GB2312" w:eastAsia="仿宋_GB2312"/>
        </w:rPr>
        <w:t>委托，拟对</w:t>
      </w:r>
      <w:r>
        <w:rPr>
          <w:rFonts w:ascii="仿宋_GB2312" w:hAnsi="仿宋_GB2312" w:cs="仿宋_GB2312" w:eastAsia="仿宋_GB2312"/>
        </w:rPr>
        <w:t>麻醉手术室第10间改造及第11间地胶铺设(二次)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LZBD2025-1773.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麻醉手术室第10间改造及第11间地胶铺设(二次)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本次需改造手术间为原正负压切换手术室，净化级别由原万级净化升级为百级净化。具体详见采购文件。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采购包1（麻醉手术室第10间改造及第11间地胶铺设）：属于专门面向中小企业采购。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是独立承担民事责任能力的法人、其他组织或自然人：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2、企业信用：供应商不得为“中国执行信息公开网”网站中列入失信被执行人和“信用中国”网站中列入重大税 收违法失信主体的供应商，不得为“中国政府采购网”政府采购严重违法失信行为记录名单中被财政部门禁止参加政府采购活动的供应商。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3、企业证书：供应商具有建设行政主管部门颁发的建筑装修装饰工程专业承包二级及以上资质，且具备有效的安全生产许可证。注：供应商需在项目电子化交易系统中按要求上传相应证明文件并进行电子签章。</w:t>
      </w:r>
    </w:p>
    <w:p>
      <w:pPr>
        <w:pStyle w:val="null3"/>
      </w:pPr>
      <w:r>
        <w:rPr>
          <w:rFonts w:ascii="仿宋_GB2312" w:hAnsi="仿宋_GB2312" w:cs="仿宋_GB2312" w:eastAsia="仿宋_GB2312"/>
        </w:rPr>
        <w:t>4、项目负责人资质和专业要求：供应商拟派项目经理具备建筑工程专业二级及以上注册建造师证书和安全生产考核合格证（B证），在本单位注册且无在建项目。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西安市长安区郭杜街道文苑中路120号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8910601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葛元庆、徐小宁、刘强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代理服务费收费标准：交费金额参照国家计委颁布的《招标代理服务收费管理暂行办法》（计价格【2002】1980号）及发改办价格【2003】857号中的规定计取。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西安市长安区医院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西安市长安区医院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详见采购文件及签订的合同。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联系人：徐小宁、葛元庆、刘强</w:t>
      </w:r>
    </w:p>
    <w:p>
      <w:pPr>
        <w:pStyle w:val="null3"/>
      </w:pPr>
      <w:r>
        <w:rPr>
          <w:rFonts w:ascii="仿宋_GB2312" w:hAnsi="仿宋_GB2312" w:cs="仿宋_GB2312" w:eastAsia="仿宋_GB2312"/>
        </w:rPr>
        <w:t>联系电话：88228899-648</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299,000.00</w:t>
      </w:r>
    </w:p>
    <w:p>
      <w:pPr>
        <w:pStyle w:val="null3"/>
      </w:pPr>
      <w:r>
        <w:rPr>
          <w:rFonts w:ascii="仿宋_GB2312" w:hAnsi="仿宋_GB2312" w:cs="仿宋_GB2312" w:eastAsia="仿宋_GB2312"/>
        </w:rPr>
        <w:t>采购包最高限价（元）: 299,000.00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麻醉手术室第10间及第11间地胶铺设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299,000.00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标的名称：麻醉手术室第10间及第11间地胶铺设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08"/>
              <w:jc w:val="both"/>
            </w:pPr>
            <w:r>
              <w:rPr>
                <w:rFonts w:ascii="仿宋_GB2312" w:hAnsi="仿宋_GB2312" w:cs="仿宋_GB2312" w:eastAsia="仿宋_GB2312"/>
                <w:sz w:val="21"/>
              </w:rPr>
              <w:t>一、</w:t>
            </w:r>
            <w:r>
              <w:rPr>
                <w:rFonts w:ascii="仿宋_GB2312" w:hAnsi="仿宋_GB2312" w:cs="仿宋_GB2312" w:eastAsia="仿宋_GB2312"/>
                <w:sz w:val="21"/>
              </w:rPr>
              <w:t>项目概况：</w:t>
            </w:r>
          </w:p>
          <w:p>
            <w:pPr>
              <w:pStyle w:val="null3"/>
              <w:ind w:firstLine="308"/>
              <w:jc w:val="both"/>
            </w:pPr>
            <w:r>
              <w:rPr>
                <w:rFonts w:ascii="仿宋_GB2312" w:hAnsi="仿宋_GB2312" w:cs="仿宋_GB2312" w:eastAsia="仿宋_GB2312"/>
                <w:sz w:val="21"/>
              </w:rPr>
              <w:t>该洁净手术部位于大楼四层，净化机组集中布置于设备转换层，冷热源为集中冷热水。</w:t>
            </w:r>
          </w:p>
          <w:p>
            <w:pPr>
              <w:pStyle w:val="null3"/>
              <w:ind w:firstLine="308"/>
              <w:jc w:val="both"/>
            </w:pPr>
            <w:r>
              <w:rPr>
                <w:rFonts w:ascii="仿宋_GB2312" w:hAnsi="仿宋_GB2312" w:cs="仿宋_GB2312" w:eastAsia="仿宋_GB2312"/>
                <w:sz w:val="21"/>
              </w:rPr>
              <w:t>本次需改造手术间为原正负压切换手术室，净化级别由原万级净化升级为百级净化。</w:t>
            </w:r>
          </w:p>
          <w:p>
            <w:pPr>
              <w:pStyle w:val="null3"/>
              <w:ind w:firstLine="308"/>
              <w:jc w:val="both"/>
            </w:pPr>
            <w:r>
              <w:rPr>
                <w:rFonts w:ascii="仿宋_GB2312" w:hAnsi="仿宋_GB2312" w:cs="仿宋_GB2312" w:eastAsia="仿宋_GB2312"/>
                <w:sz w:val="21"/>
              </w:rPr>
              <w:t>二、项目</w:t>
            </w:r>
            <w:r>
              <w:rPr>
                <w:rFonts w:ascii="仿宋_GB2312" w:hAnsi="仿宋_GB2312" w:cs="仿宋_GB2312" w:eastAsia="仿宋_GB2312"/>
                <w:sz w:val="21"/>
              </w:rPr>
              <w:t>方案：</w:t>
            </w:r>
          </w:p>
          <w:p>
            <w:pPr>
              <w:pStyle w:val="null3"/>
              <w:ind w:firstLine="308"/>
              <w:jc w:val="both"/>
            </w:pPr>
            <w:r>
              <w:rPr>
                <w:rFonts w:ascii="仿宋_GB2312" w:hAnsi="仿宋_GB2312" w:cs="仿宋_GB2312" w:eastAsia="仿宋_GB2312"/>
                <w:sz w:val="21"/>
              </w:rPr>
              <w:t>1、维持现有手术部布局不变，将需改造手术间内部所有配备通风设施拆除，同时，拆除顶部装饰层及照明灯具；</w:t>
            </w:r>
          </w:p>
          <w:p>
            <w:pPr>
              <w:pStyle w:val="null3"/>
              <w:ind w:firstLine="308"/>
              <w:jc w:val="both"/>
            </w:pPr>
            <w:r>
              <w:rPr>
                <w:rFonts w:ascii="仿宋_GB2312" w:hAnsi="仿宋_GB2312" w:cs="仿宋_GB2312" w:eastAsia="仿宋_GB2312"/>
                <w:sz w:val="21"/>
              </w:rPr>
              <w:t>2、设备层现有循环机组拆除换新；</w:t>
            </w:r>
          </w:p>
          <w:p>
            <w:pPr>
              <w:pStyle w:val="null3"/>
              <w:ind w:firstLine="308"/>
              <w:jc w:val="both"/>
            </w:pPr>
            <w:r>
              <w:rPr>
                <w:rFonts w:ascii="仿宋_GB2312" w:hAnsi="仿宋_GB2312" w:cs="仿宋_GB2312" w:eastAsia="仿宋_GB2312"/>
                <w:sz w:val="21"/>
              </w:rPr>
              <w:t>3、电极加湿器拆除更换；</w:t>
            </w:r>
          </w:p>
          <w:p>
            <w:pPr>
              <w:pStyle w:val="null3"/>
              <w:ind w:firstLine="308"/>
              <w:jc w:val="both"/>
            </w:pPr>
            <w:r>
              <w:rPr>
                <w:rFonts w:ascii="仿宋_GB2312" w:hAnsi="仿宋_GB2312" w:cs="仿宋_GB2312" w:eastAsia="仿宋_GB2312"/>
                <w:sz w:val="21"/>
              </w:rPr>
              <w:t>4、设备基础制作；</w:t>
            </w:r>
          </w:p>
          <w:p>
            <w:pPr>
              <w:pStyle w:val="null3"/>
              <w:ind w:firstLine="308"/>
              <w:jc w:val="both"/>
            </w:pPr>
            <w:r>
              <w:rPr>
                <w:rFonts w:ascii="仿宋_GB2312" w:hAnsi="仿宋_GB2312" w:cs="仿宋_GB2312" w:eastAsia="仿宋_GB2312"/>
                <w:sz w:val="21"/>
              </w:rPr>
              <w:t>5、从设备到手术间全部风道拆除更换；</w:t>
            </w:r>
          </w:p>
          <w:p>
            <w:pPr>
              <w:pStyle w:val="null3"/>
              <w:ind w:firstLine="308"/>
              <w:jc w:val="both"/>
            </w:pPr>
            <w:r>
              <w:rPr>
                <w:rFonts w:ascii="仿宋_GB2312" w:hAnsi="仿宋_GB2312" w:cs="仿宋_GB2312" w:eastAsia="仿宋_GB2312"/>
                <w:sz w:val="21"/>
              </w:rPr>
              <w:t>6、手术间内顶部送风天花拆除更换；</w:t>
            </w:r>
          </w:p>
          <w:p>
            <w:pPr>
              <w:pStyle w:val="null3"/>
              <w:ind w:firstLine="308"/>
              <w:jc w:val="both"/>
            </w:pPr>
            <w:r>
              <w:rPr>
                <w:rFonts w:ascii="仿宋_GB2312" w:hAnsi="仿宋_GB2312" w:cs="仿宋_GB2312" w:eastAsia="仿宋_GB2312"/>
                <w:sz w:val="21"/>
              </w:rPr>
              <w:t>7、手术间底部钢制单层百叶回风口拆除更换（安装洞口需扩大）；</w:t>
            </w:r>
          </w:p>
          <w:p>
            <w:pPr>
              <w:pStyle w:val="null3"/>
              <w:ind w:firstLine="308"/>
              <w:jc w:val="both"/>
            </w:pPr>
            <w:r>
              <w:rPr>
                <w:rFonts w:ascii="仿宋_GB2312" w:hAnsi="仿宋_GB2312" w:cs="仿宋_GB2312" w:eastAsia="仿宋_GB2312"/>
                <w:sz w:val="21"/>
              </w:rPr>
              <w:t>8、既有机组配电系统拆改，自动控制柜更换；</w:t>
            </w:r>
          </w:p>
          <w:p>
            <w:pPr>
              <w:pStyle w:val="null3"/>
              <w:ind w:firstLine="308"/>
              <w:jc w:val="both"/>
            </w:pPr>
            <w:r>
              <w:rPr>
                <w:rFonts w:ascii="仿宋_GB2312" w:hAnsi="仿宋_GB2312" w:cs="仿宋_GB2312" w:eastAsia="仿宋_GB2312"/>
                <w:sz w:val="21"/>
              </w:rPr>
              <w:t>9、手术间内远程控制面板拆除更换。</w:t>
            </w:r>
          </w:p>
          <w:p>
            <w:pPr>
              <w:pStyle w:val="null3"/>
              <w:ind w:firstLine="308"/>
              <w:jc w:val="both"/>
            </w:pPr>
            <w:r>
              <w:rPr>
                <w:rFonts w:ascii="仿宋_GB2312" w:hAnsi="仿宋_GB2312" w:cs="仿宋_GB2312" w:eastAsia="仿宋_GB2312"/>
                <w:sz w:val="21"/>
              </w:rPr>
              <w:t>三、项目要求</w:t>
            </w:r>
            <w:r>
              <w:rPr>
                <w:rFonts w:ascii="仿宋_GB2312" w:hAnsi="仿宋_GB2312" w:cs="仿宋_GB2312" w:eastAsia="仿宋_GB2312"/>
                <w:sz w:val="21"/>
              </w:rPr>
              <w:t>：</w:t>
            </w:r>
          </w:p>
          <w:p>
            <w:pPr>
              <w:pStyle w:val="null3"/>
              <w:ind w:firstLine="308"/>
              <w:jc w:val="both"/>
            </w:pPr>
            <w:r>
              <w:rPr>
                <w:rFonts w:ascii="仿宋_GB2312" w:hAnsi="仿宋_GB2312" w:cs="仿宋_GB2312" w:eastAsia="仿宋_GB2312"/>
                <w:sz w:val="21"/>
              </w:rPr>
              <w:t>1、在现有基础上拆改，成品保护及施工围挡需着重处理，避免对现手术部正常运行产生影响；</w:t>
            </w:r>
          </w:p>
          <w:p>
            <w:pPr>
              <w:pStyle w:val="null3"/>
              <w:ind w:firstLine="308"/>
              <w:jc w:val="both"/>
            </w:pPr>
            <w:r>
              <w:rPr>
                <w:rFonts w:ascii="仿宋_GB2312" w:hAnsi="仿宋_GB2312" w:cs="仿宋_GB2312" w:eastAsia="仿宋_GB2312"/>
                <w:sz w:val="21"/>
              </w:rPr>
              <w:t>2、本次改造需与原水电系统对接，接驳点需确保有足够富余量；</w:t>
            </w:r>
          </w:p>
          <w:p>
            <w:pPr>
              <w:pStyle w:val="null3"/>
              <w:ind w:firstLine="308"/>
              <w:jc w:val="both"/>
            </w:pPr>
            <w:r>
              <w:rPr>
                <w:rFonts w:ascii="仿宋_GB2312" w:hAnsi="仿宋_GB2312" w:cs="仿宋_GB2312" w:eastAsia="仿宋_GB2312"/>
                <w:sz w:val="21"/>
              </w:rPr>
              <w:t>3、顶部及墙面装饰面层皆有不同程度拆改，拆改后恢复应尽可能与原装饰面齐平，颜色接近；</w:t>
            </w:r>
          </w:p>
          <w:p>
            <w:pPr>
              <w:pStyle w:val="null3"/>
              <w:ind w:firstLine="308"/>
              <w:jc w:val="both"/>
            </w:pPr>
            <w:r>
              <w:rPr>
                <w:rFonts w:ascii="仿宋_GB2312" w:hAnsi="仿宋_GB2312" w:cs="仿宋_GB2312" w:eastAsia="仿宋_GB2312"/>
                <w:sz w:val="21"/>
              </w:rPr>
              <w:t>4、改造完成需进行洁净度检测</w:t>
            </w:r>
            <w:r>
              <w:rPr>
                <w:rFonts w:ascii="仿宋_GB2312" w:hAnsi="仿宋_GB2312" w:cs="仿宋_GB2312" w:eastAsia="仿宋_GB2312"/>
                <w:sz w:val="21"/>
              </w:rPr>
              <w:t>；省疾控出具检测报告。</w:t>
            </w:r>
          </w:p>
          <w:p>
            <w:pPr>
              <w:pStyle w:val="null3"/>
              <w:ind w:firstLine="308"/>
              <w:jc w:val="both"/>
            </w:pPr>
            <w:r>
              <w:rPr>
                <w:rFonts w:ascii="仿宋_GB2312" w:hAnsi="仿宋_GB2312" w:cs="仿宋_GB2312" w:eastAsia="仿宋_GB2312"/>
                <w:sz w:val="21"/>
              </w:rPr>
              <w:t>5、施工期间保证施工场地密封完好，不得影响其他手术间正常手术。</w:t>
            </w:r>
          </w:p>
          <w:p>
            <w:pPr>
              <w:pStyle w:val="null3"/>
              <w:ind w:firstLine="308"/>
              <w:jc w:val="both"/>
            </w:pPr>
            <w:r>
              <w:rPr>
                <w:rFonts w:ascii="仿宋_GB2312" w:hAnsi="仿宋_GB2312" w:cs="仿宋_GB2312" w:eastAsia="仿宋_GB2312"/>
                <w:sz w:val="21"/>
              </w:rPr>
              <w:t>6、施工过程中不能破坏不必要拆除的墙体设施等，如有损坏，由施工方负责修缮。</w:t>
            </w:r>
          </w:p>
          <w:p>
            <w:pPr>
              <w:pStyle w:val="null3"/>
              <w:ind w:firstLine="308"/>
              <w:jc w:val="both"/>
            </w:pPr>
            <w:r>
              <w:rPr>
                <w:rFonts w:ascii="仿宋_GB2312" w:hAnsi="仿宋_GB2312" w:cs="仿宋_GB2312" w:eastAsia="仿宋_GB2312"/>
                <w:sz w:val="21"/>
              </w:rPr>
              <w:t>7、施工期间所有施工人员的人身安全由施工单位全权负责，与甲方无关。</w:t>
            </w:r>
          </w:p>
          <w:p>
            <w:pPr>
              <w:pStyle w:val="null3"/>
              <w:ind w:firstLine="308"/>
              <w:jc w:val="both"/>
            </w:pPr>
            <w:r>
              <w:rPr>
                <w:rFonts w:ascii="仿宋_GB2312" w:hAnsi="仿宋_GB2312" w:cs="仿宋_GB2312" w:eastAsia="仿宋_GB2312"/>
                <w:sz w:val="21"/>
              </w:rPr>
              <w:t>8、施工期间如有电焊明火等，必须提前报备申请，由甲方同意后方可进行。</w:t>
            </w:r>
          </w:p>
          <w:p>
            <w:pPr>
              <w:pStyle w:val="null3"/>
              <w:ind w:firstLine="308"/>
              <w:jc w:val="both"/>
            </w:pPr>
            <w:r>
              <w:rPr>
                <w:rFonts w:ascii="仿宋_GB2312" w:hAnsi="仿宋_GB2312" w:cs="仿宋_GB2312" w:eastAsia="仿宋_GB2312"/>
                <w:sz w:val="21"/>
              </w:rPr>
              <w:t>9、施工所需的材料、设施设备均为国标产品。</w:t>
            </w:r>
          </w:p>
          <w:p>
            <w:pPr>
              <w:pStyle w:val="null3"/>
              <w:ind w:firstLine="308"/>
              <w:jc w:val="both"/>
            </w:pPr>
            <w:r>
              <w:rPr>
                <w:rFonts w:ascii="仿宋_GB2312" w:hAnsi="仿宋_GB2312" w:cs="仿宋_GB2312" w:eastAsia="仿宋_GB2312"/>
                <w:sz w:val="21"/>
              </w:rPr>
              <w:t>10、本次施工乙方必须无条件服从甲方的一切施工要求，如有违反，暂停施工待整改完后方可继续进行施工。</w:t>
            </w:r>
          </w:p>
          <w:p>
            <w:pPr>
              <w:pStyle w:val="null3"/>
              <w:ind w:firstLine="308"/>
              <w:jc w:val="both"/>
            </w:pPr>
            <w:r>
              <w:rPr>
                <w:rFonts w:ascii="仿宋_GB2312" w:hAnsi="仿宋_GB2312" w:cs="仿宋_GB2312" w:eastAsia="仿宋_GB2312"/>
                <w:sz w:val="21"/>
              </w:rPr>
              <w:t>四、施工拆除及安装明细</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序号</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名称</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单位</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数量</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备注</w:t>
                  </w:r>
                </w:p>
              </w:tc>
            </w:tr>
            <w:tr>
              <w:tc>
                <w:tcPr>
                  <w:tcW w:type="dxa" w:w="2555"/>
                  <w:gridSpan w:val="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一、拆除部分</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净化机组</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台</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散件拆除、成品保护拆除及二次搬运至甲方指定位置</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2</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送回风及新风管道</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成品保护拆除及二次搬运至甲方指定位置</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3</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水循环管道及阀门组件</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成品保护拆除及二次搬运至甲方指定位置</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4</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蒸汽加湿及疏水器</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成品保护拆除及二次搬运至甲方指定位置</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5</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自控箱控制系统</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成品保护拆除及二次搬运至甲方指定位置</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6</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手术室装饰面拆除</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成品保护拆除及二次搬运至甲方指定位置</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7</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送风天花风管及高效过滤器拆除</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成品保护拆除及二次搬运至甲方指定位置</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8</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回风口及管道拆除</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成品保护拆除及二次搬运至甲方指定位置</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9</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垃圾清运费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p>
              </w:tc>
            </w:tr>
            <w:tr>
              <w:tc>
                <w:tcPr>
                  <w:tcW w:type="dxa" w:w="2555"/>
                  <w:gridSpan w:val="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二、新增部分</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净化机组设备费</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2</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水系统材料安装及调试费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水管、水阀、电动阀</w:t>
                  </w:r>
                  <w:r>
                    <w:rPr>
                      <w:rFonts w:ascii="仿宋_GB2312" w:hAnsi="仿宋_GB2312" w:cs="仿宋_GB2312" w:eastAsia="仿宋_GB2312"/>
                      <w:sz w:val="21"/>
                    </w:rPr>
                    <w:t>、疏水器、保温等安装及调试工作</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3</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风系统材料安装及调试费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送回风及新风排风管道安装调试工作</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4</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自控系统强弱电材料安装及调试费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自控柜及强电线采购敷设调试安装工作</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5</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净化机组基础材料制作及安装费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12# 槽钢基础支架制作及安装工作</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6</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送风天花含高效过滤器材料及安装费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送风天花及高效过滤器材料及安装工作</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7</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装饰面恢复</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墙面及天花恢复修补工作</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8</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成品保护费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手术室墙面、地面等成品防护膜</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9</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11 号手术室塑胶地板拆除翻新</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平方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45</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塑胶地板拆除、自流平修复、塑胶重新铺装</w:t>
                  </w:r>
                </w:p>
              </w:tc>
            </w:tr>
            <w:tr>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10</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rFonts w:ascii="仿宋_GB2312" w:hAnsi="仿宋_GB2312" w:cs="仿宋_GB2312" w:eastAsia="仿宋_GB2312"/>
                      <w:sz w:val="21"/>
                    </w:rPr>
                    <w:t>检测费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项</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r>
                    <w:rPr>
                      <w:rFonts w:ascii="仿宋_GB2312" w:hAnsi="仿宋_GB2312" w:cs="仿宋_GB2312" w:eastAsia="仿宋_GB2312"/>
                      <w:sz w:val="21"/>
                    </w:rPr>
                    <w:t>1</w:t>
                  </w:r>
                </w:p>
              </w:tc>
              <w:tc>
                <w:tcPr>
                  <w:tcW w:type="dxa" w:w="511"/>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ind w:firstLine="308"/>
                    <w:jc w:val="both"/>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工期：自合同签订之日起30日历天。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 5000万元及以上的为中型企业；营业收入300万元及以上，且资产总额300万元及以上的为小型企业；营业收入300万元以 下或资产总额300万元以下的为微型企业。2、本项目专门面向中小企业采购（残疾人福 利性单位、监狱企业视同小型、微型企业）。3、需要落实的政府采购政策：1）《国务院办公厅关于建立政府强制采购节能产品制度的通知》（国办发〔2007〕51号）；2）《财政部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1.财务状况报告：提供具有财务审计资质单位出具的2024年度财务报告或开标前六个月内其基本账户银行出具的资信证明或政府采购信用担保机构出具的担保函； 2.税收缴纳证明：提供截止至开标时间前六个月内任意一个月的缴纳凭据；（依法免税的供应商应提供相关文件证明）； 3.社会保障资金缴纳证明：提供截止至开标时间前六个月内任意一个月的社保缴纳凭据或社保机构开具的社会保险参保缴纳情况证明；（依法不需要缴纳社会保障资金的供应商应提供相关证明）； 4.提供具有履行本合同所必需的设备和专业技术能力的承诺函（加盖供应商公章）； 5.提供参加政府采购活动前三年内在经营活动中没有重大违法记录的书面声明（加盖供应商公章）。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开标前六个月内其基本账户银行出具的资信证明或政府采购信用担保机构出具的担保函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供应商应是独立承担民事责任能力的法人、其他组织或自然人</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 自然人须提供身份证明。注：供应商需在项目电子化交易系统中按要求上传相应证明文件并进行电子签章。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 收违法失信主体的供应商，不得为“中国政府采购网”政府采购严重违法失信行为记录名单中被财政部门禁止参加政府采购活动的供应商。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企业证书</w:t>
            </w:r>
          </w:p>
        </w:tc>
        <w:tc>
          <w:tcPr>
            <w:tcW w:type="dxa" w:w="3322"/>
          </w:tcPr>
          <w:p>
            <w:pPr>
              <w:pStyle w:val="null3"/>
            </w:pPr>
            <w:r>
              <w:rPr>
                <w:rFonts w:ascii="仿宋_GB2312" w:hAnsi="仿宋_GB2312" w:cs="仿宋_GB2312" w:eastAsia="仿宋_GB2312"/>
              </w:rPr>
              <w:t>供应商具有建设行政主管部门颁发的建筑装修装饰工程专业承包二级及以上资质，且具备有效的安全生产许可证。注：供应商需在项目电子化交易系统中按要求上传相应证明文件并进行电子签章。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供应商拟派项目经理具备建筑工程专业二级及以上注册建造师证书和安全生产考核合格证（B证），在本单位注册且无在建项目。注：供应商需在项目电子化交易系统中按要求上传相应证明文件并进行电子签章。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已标价工程量清单.docx 技术响应部分.docx 中小企业声明函 授权委托书.docx 技术商务偏离表.docx 资格证明文件.docx 强制优先采购产品承诺函 响应文件封面 法定代表人（单位负责人自然人）身份证明.docx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已标价工程量清单.docx 技术响应部分.docx 中小企业声明函 授权委托书.docx 技术商务偏离表.docx 资格证明文件.docx 强制优先采购产品承诺函 响应文件封面 法定代表人（单位负责人自然人）身份证明.docx 残疾人福利性单位声明函 供应商类似项目业绩一览表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响应文件封面 法定代表人（单位负责人自然人）身份证明.docx 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磋商文件技术、商务要求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技术商务偏离表.docx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施工方案全面、合理，施工方法先进，可行性强，完全满足工程施工要求的得5分； 施工方案全面、合理，施工方法较先进，有一定的可行性，能满足工程施工要求的得4分；施工方案较完整、合理，施工方案有针对性，基本可行，满足工程施工要求的得3分； 施工方案存在部分不完整，施工方法针对本项目基本可行的得2分；方案简单笼统或存在较大不合理的得1分；未提供或明显不合理的不得分。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及项目管理设置合理、全面。对工程项目的实施具有有效地计划、组织、协调、控制，针对性强、可行性强，能完全确保实现项目的管理目标的得5分；施工组织及项目管理设置合理、全面。对工程项目的实施具有一定的计划、组织、协调、控制效果，有一定的合理性和可行性的得4分； 施工组织及项目管理设置基本全面、合理，基本能确保实现项目管理目标的得3分； 施工组织或项目管理机构设置部分存在不合理，但总体基本能达到项目管理目标的得2分；施工组织和项目管理机构设置简单，存在较大不合理性的得1分； 未提供或安排不合理，达不到管理目标的不得分。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疑难问题处理预案</w:t>
            </w:r>
          </w:p>
        </w:tc>
        <w:tc>
          <w:tcPr>
            <w:tcW w:type="dxa" w:w="2492"/>
          </w:tcPr>
          <w:p>
            <w:pPr>
              <w:pStyle w:val="null3"/>
            </w:pPr>
            <w:r>
              <w:rPr>
                <w:rFonts w:ascii="仿宋_GB2312" w:hAnsi="仿宋_GB2312" w:cs="仿宋_GB2312" w:eastAsia="仿宋_GB2312"/>
              </w:rPr>
              <w:t>针对本项目实施过程中可能出现的问题分析全面，且有相对应的解决方案和措施，方案和措施合理、可行性强的得5分； 针对本项目实施过程中可能出现的问题分析全面，有相对应的解决方案和措施，方案和措施有一定合理性、可行性的得4分； 针对本项目实施过程中可能出现的问题分析基本全面，相对应的解决方案和措施，基本合理、可行的得3分；针对本项目实施过程中可能出现的问题有一定的分析但分析不全面，相对应的解决方案和措施部分可行的得2分； 针对本项目实施过程中可能出现的问题分析简单不全面，相对应的解决方案和措施有较大的不合理性的得1分；未提供或明显不合理的不得分。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进度计划安排方案， 施工进度表或施工网络图</w:t>
            </w:r>
          </w:p>
        </w:tc>
        <w:tc>
          <w:tcPr>
            <w:tcW w:type="dxa" w:w="2492"/>
          </w:tcPr>
          <w:p>
            <w:pPr>
              <w:pStyle w:val="null3"/>
            </w:pPr>
            <w:r>
              <w:rPr>
                <w:rFonts w:ascii="仿宋_GB2312" w:hAnsi="仿宋_GB2312" w:cs="仿宋_GB2312" w:eastAsia="仿宋_GB2312"/>
              </w:rPr>
              <w:t>进度安排合理、可行、科学、符合项目实施需求，施工进度表或网络图表达清晰、合理，可行性强的得5分；进度安排有一定合理性、可行性、科学性，能符合项目实施需求，施工进度表或网络图表达有一定合理性和可行性的得4分； 进度安排合理、可行、较符合项目实施需求，施进度表或网络图表达基本明确、清晰的得3分；进度安排较合理、较可行、较符合项目实施需求，施进度表或网络图表达不明确、不清晰的得2分；进度安排合理和可行一般的，施进度表或网络图表达不明确、不清晰、较混乱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投入本项目机械设备及劳动力安排</w:t>
            </w:r>
          </w:p>
        </w:tc>
        <w:tc>
          <w:tcPr>
            <w:tcW w:type="dxa" w:w="2492"/>
          </w:tcPr>
          <w:p>
            <w:pPr>
              <w:pStyle w:val="null3"/>
            </w:pPr>
            <w:r>
              <w:rPr>
                <w:rFonts w:ascii="仿宋_GB2312" w:hAnsi="仿宋_GB2312" w:cs="仿宋_GB2312" w:eastAsia="仿宋_GB2312"/>
              </w:rPr>
              <w:t>机械配备投入合理且数量充足、投入计划紧贴项目进度，劳动力安排合理，可操作性强，能够确保项目如期保质完成的得5分； 机械配备投入合且数量充足、投入计划紧贴项目进度，劳动力安排合理有一定的合理性和可行性的得4分；机械配备投入合理且数量充足、投入计划基本与项目进度匹配，劳动力安排基本合理可行的得3分；机械配备投入计划基本合理，基本与项目进度匹配，劳动力数量基本合理的得2分； 机械配备投入数量存在部分不合理，与项目建设进度匹配度一般，劳动力数量存在部分不合理，计划表不清晰、可行性一般的得1分；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治污减霾专项方案</w:t>
            </w:r>
          </w:p>
        </w:tc>
        <w:tc>
          <w:tcPr>
            <w:tcW w:type="dxa" w:w="2492"/>
          </w:tcPr>
          <w:p>
            <w:pPr>
              <w:pStyle w:val="null3"/>
            </w:pPr>
            <w:r>
              <w:rPr>
                <w:rFonts w:ascii="仿宋_GB2312" w:hAnsi="仿宋_GB2312" w:cs="仿宋_GB2312" w:eastAsia="仿宋_GB2312"/>
              </w:rPr>
              <w:t>方案内容有针对性，符合本项目实际情况及实施要求，方案详尽，合理性和可行性强，能够有效保证环境卫生的得5分； 方案内容有针对性，符合本项目实际情况及实施要求，方案详尽，有一定合理性和可行性的得4分；方案内容基本符合本项目实际情况及实施要求且内容基本全面，基本合理、可行的得3分；方案内容基本符合本项目实际情况及实施要求且基本全面，但合理性、可行性一般的得2分；方案内容基本符合本项目实际情况及实施要求且不全面，不合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安全专项方案</w:t>
            </w:r>
          </w:p>
        </w:tc>
        <w:tc>
          <w:tcPr>
            <w:tcW w:type="dxa" w:w="2492"/>
          </w:tcPr>
          <w:p>
            <w:pPr>
              <w:pStyle w:val="null3"/>
            </w:pPr>
            <w:r>
              <w:rPr>
                <w:rFonts w:ascii="仿宋_GB2312" w:hAnsi="仿宋_GB2312" w:cs="仿宋_GB2312" w:eastAsia="仿宋_GB2312"/>
              </w:rPr>
              <w:t>方案内容专门针对本项目编制，符合本项目实际情况及实施要求，方案详尽，合理性和可行性强的得5分；方案内容专门针对本项目编制，符合本项目实际情况及实施要求，方案详尽，有一定合理性和可行性的得4分；方案内容基本符合本项目实际情况及实施要求且内容基本全面，基本合理、可行的得3分；方案内容基本符合本项目实际情况及实施要求且基本全面，但合理性、可行性一般的得2分；方案内容较少且不合理性、不可行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针对本项目的工程提出合理、科学、完整的确保质量技术组织措施，可行性强的得5分；针对本项目的工程提出合理、科学、完整的确保质量技术组织措施，有一定可行性的得4分；确保工程质量的技术组织措施基本合理、科学、完整，能满足项目的整体需求的得3分；组织措施部分存在不合理性，但基本能满足项目整体要求的得2分；措施简单笼统或存在较大不合理性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完整、能够全面保证文明施工，从多个方面确保文明施工，且合理性、可行性强的得5分；措施完整、全面能够保证文明施工，从多个方面确保文明施工，有一定的合理性和可行性的得4分；措施基本完整全面，能从多个方面确保文明施工，基本合理、可行的得3分； 措施不完整、全面，但有一定的可行性的得2分；措施简单笼统或存在明显的不合理性的，不能满足文明施工的得1分；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确保环境保护的组织措施</w:t>
            </w:r>
          </w:p>
        </w:tc>
        <w:tc>
          <w:tcPr>
            <w:tcW w:type="dxa" w:w="2492"/>
          </w:tcPr>
          <w:p>
            <w:pPr>
              <w:pStyle w:val="null3"/>
            </w:pPr>
            <w:r>
              <w:rPr>
                <w:rFonts w:ascii="仿宋_GB2312" w:hAnsi="仿宋_GB2312" w:cs="仿宋_GB2312" w:eastAsia="仿宋_GB2312"/>
              </w:rPr>
              <w:t>措施全面、完整，能从多方面考虑影响环境的因素，并提出相关解决和防治措施，实施度高、可落地性强，可确保达到环境保护的要求得5分；措施全面、完整，能从多方面考虑影响环境的因素，有一定的可行性和可操作性，能满足环境保护要求的得4分； 措施基本全面、完整，基本有一定的可行性，能基本满足环境保护要求的得3分； 该措施不全面，但有一定的可行性，基本能达到环境保护要求的得2分； 措施存在较大不合理性、内容简单的得1分；未提供不得分。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 有工期计划措施，实施进度安排合理，有一定的可行性，具有明确的实施进度计划表，能够确保工程完工的得4分； 进度安排合理，有一定的可行性，实施进度计划基本明确的能够基本保证项目如期完成的得3分； 进度安排基本合理，实施进度计划表不清晰、可行性一般的得2分； 进度安排合理性一般，实施进度计划表不清晰的得1分；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供应商对工期时限、工程质量及进度以及施工过程中产生的垃圾按规定倾倒、不随意抛洒，环境卫生等方面做出承诺； 承诺涵盖全面且承诺可行的得5分；承诺涵盖较全面有一定可行性的得4分；承诺内容涵盖不全面但所承诺内容可行的得3分；承诺不全面，可行性一般的得2分；承诺内容简单、不符合项目实际需求、存在较大不合理性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近年（2022年1月1日至今），每承担过1个类似项目得2分，最 高得10分（类似业绩提供合同复印件，时间以签订日期为准）。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满足竞争性磋商文件要求且最后报价最低的磋商报价为评审基准价，其价格分为满分。 各供应商的报价得分按下列公式计算： 报价得分=（磋商基准价/最后磋商报价）×30，磋商报价不完整的，不进入磋商基准价的计算，本项得0分。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详见附件：项目管理机构组成表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