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版本号：HRC-ZBDL-2025-0019120251212001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王曲街道藏龙寨村村内道路硬化及病害路面修复项目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HRC-ZBDL-2025-00191</w:t>
      </w:r>
      <w:r>
        <w:br/>
      </w:r>
      <w:r>
        <w:br/>
      </w:r>
      <w:r>
        <w:br/>
      </w:r>
    </w:p>
    <w:p>
      <w:pPr>
        <w:pStyle w:val="null3"/>
        <w:jc w:val="center"/>
        <w:outlineLvl w:val="2"/>
      </w:pPr>
      <w:r>
        <w:rPr>
          <w:rFonts w:ascii="仿宋_GB2312" w:hAnsi="仿宋_GB2312" w:cs="仿宋_GB2312" w:eastAsia="仿宋_GB2312"/>
          <w:sz w:val="28"/>
          <w:b/>
        </w:rPr>
        <w:t>西安市长安区王曲街道办事处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西安市长安区王曲街道办事处</w:t>
      </w:r>
      <w:r>
        <w:rPr>
          <w:rFonts w:ascii="仿宋_GB2312" w:hAnsi="仿宋_GB2312" w:cs="仿宋_GB2312" w:eastAsia="仿宋_GB2312"/>
        </w:rPr>
        <w:t>委托，拟对</w:t>
      </w:r>
      <w:r>
        <w:rPr>
          <w:rFonts w:ascii="仿宋_GB2312" w:hAnsi="仿宋_GB2312" w:cs="仿宋_GB2312" w:eastAsia="仿宋_GB2312"/>
        </w:rPr>
        <w:t>王曲街道藏龙寨村村内道路硬化及病害路面修复项目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HRC-ZBDL-2025-00191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王曲街道藏龙寨村村内道路硬化及病害路面修复项目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王曲街道藏龙寨村村内道路硬化及病害路面修复项目，将下辖部分道路进行硬化以及病害路面修复加铺沥青，并对部分缺失边沟段道路新建道路边沟。主要解决部分道路破损严重影响车辆行驶安全，部分道路雨季道路泥泞不堪影响村民出行，以及部分段道路雨污水散排等民生问题。养护道路长499米宽5.5米；沥青路面铺设1504米，宽3-6米；主要功能或目标满足群众日常出行。具体工程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采购包1（王曲街道藏龙寨村村内道路硬化及病害路面修复项目）：属于专门面向中小企业采购。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或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5、资质证书：供应商具备建设行政主管部门核发的市政公用工程施工总承包三级（含三级）以上资质；且具备有效的安全生产许可证。</w:t>
      </w:r>
    </w:p>
    <w:p>
      <w:pPr>
        <w:pStyle w:val="null3"/>
      </w:pPr>
      <w:r>
        <w:rPr>
          <w:rFonts w:ascii="仿宋_GB2312" w:hAnsi="仿宋_GB2312" w:cs="仿宋_GB2312" w:eastAsia="仿宋_GB2312"/>
        </w:rPr>
        <w:t>6、项目经理要求：项目经理须具备合法有效的市政工程专业【注册建造师二级】（含）以上执业资格，同时具备有效的安全生产考核合格证书（安全B证），在本单位注册且无在建工程。</w:t>
      </w:r>
    </w:p>
    <w:p>
      <w:pPr>
        <w:pStyle w:val="null3"/>
      </w:pPr>
      <w:r>
        <w:rPr>
          <w:rFonts w:ascii="仿宋_GB2312" w:hAnsi="仿宋_GB2312" w:cs="仿宋_GB2312" w:eastAsia="仿宋_GB2312"/>
        </w:rPr>
        <w:t>7、法定代表人授权委托书：法定代表人参加磋商的，须出示身份证明和身份证复印件；法定代表人授权他人参加磋商的，须提供法定代表人授权委托书及被授权人身份证复印件。</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名单的供应商，不得为中国政府采购网（www.ccgp.gov.cn）政府采购“严重违法失信行为记录名单”中被财政部门禁止参加政府采购活动的供应商。 （供应商可不提供，以代理机构现场查询为准）。</w:t>
      </w:r>
    </w:p>
    <w:p>
      <w:pPr>
        <w:pStyle w:val="null3"/>
      </w:pPr>
      <w:r>
        <w:rPr>
          <w:rFonts w:ascii="仿宋_GB2312" w:hAnsi="仿宋_GB2312" w:cs="仿宋_GB2312" w:eastAsia="仿宋_GB2312"/>
        </w:rPr>
        <w:t>9、非联合体投标声明：提供非联合体投标声明（格式自拟）。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西安市长安区王曲街道北堡寨村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蒲航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13571852220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18681802917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采购包1：1,746,600.23元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为：参照国家计委关于印发《招标代理服务收费管理暂行办法》的通知（计价格〔2002〕1980号）及《国家发展改革委办公厅关于招标代理服务收费有关问题的通知》（发改办价格〔2003〕857号）文件规定的标准收取。 造价咨询服务费：参照陕西省物价局《关于我省工程造价咨询服务收费管理有关问题的通知》陕价行发〔2014〕88号文件收费标准。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西安市长安区王曲街道办事处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联系人：王琛</w:t>
      </w:r>
    </w:p>
    <w:p>
      <w:pPr>
        <w:pStyle w:val="null3"/>
      </w:pPr>
      <w:r>
        <w:rPr>
          <w:rFonts w:ascii="仿宋_GB2312" w:hAnsi="仿宋_GB2312" w:cs="仿宋_GB2312" w:eastAsia="仿宋_GB2312"/>
        </w:rPr>
        <w:t>联系电话：18681802917</w:t>
      </w:r>
    </w:p>
    <w:p>
      <w:pPr>
        <w:pStyle w:val="null3"/>
      </w:pPr>
      <w:r>
        <w:rPr>
          <w:rFonts w:ascii="仿宋_GB2312" w:hAnsi="仿宋_GB2312" w:cs="仿宋_GB2312" w:eastAsia="仿宋_GB2312"/>
        </w:rPr>
        <w:t>地址：西安市曲江新区雁翔路旺座曲江E座29层2901号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1,746,600.23</w:t>
      </w:r>
    </w:p>
    <w:p>
      <w:pPr>
        <w:pStyle w:val="null3"/>
      </w:pPr>
      <w:r>
        <w:rPr>
          <w:rFonts w:ascii="仿宋_GB2312" w:hAnsi="仿宋_GB2312" w:cs="仿宋_GB2312" w:eastAsia="仿宋_GB2312"/>
        </w:rPr>
        <w:t>采购包最高限价（元）: 1,746,600.23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王曲街道藏龙寨村村内道路硬化及病害路面修复项目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1,746,600.23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标的名称：王曲街道藏龙寨村村内道路硬化及病害路面修复项目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一、项目概况：</w:t>
            </w:r>
            <w:r>
              <w:rPr>
                <w:rFonts w:ascii="仿宋_GB2312" w:hAnsi="仿宋_GB2312" w:cs="仿宋_GB2312" w:eastAsia="仿宋_GB2312"/>
                <w:sz w:val="24"/>
              </w:rPr>
              <w:t>王曲街道藏龙寨村村内道路硬化及病害路面修复项目，将下辖部分道路进行硬化以及病害路面修复加铺沥青，并对部分缺失边沟段道路新建道路边沟。主要解决部分道路破损严重影响车辆行驶安全，部分道路雨季道路泥泞不堪影响村民出行，以及部分段道路雨污水散排等民生问题。养护道路长</w:t>
            </w:r>
            <w:r>
              <w:rPr>
                <w:rFonts w:ascii="仿宋_GB2312" w:hAnsi="仿宋_GB2312" w:cs="仿宋_GB2312" w:eastAsia="仿宋_GB2312"/>
                <w:sz w:val="24"/>
              </w:rPr>
              <w:t>499米宽5.5米；沥青路面铺设1504米，宽3-6米；主要功能或目标满足群众日常出行。具体工程内容详见工程量清单。</w:t>
            </w:r>
          </w:p>
          <w:p>
            <w:pPr>
              <w:pStyle w:val="null3"/>
              <w:jc w:val="both"/>
            </w:pPr>
            <w:r>
              <w:rPr>
                <w:rFonts w:ascii="仿宋_GB2312" w:hAnsi="仿宋_GB2312" w:cs="仿宋_GB2312" w:eastAsia="仿宋_GB2312"/>
                <w:sz w:val="24"/>
              </w:rPr>
              <w:t>二、目标要求：满足群众日常出行。</w:t>
            </w:r>
          </w:p>
          <w:p>
            <w:pPr>
              <w:pStyle w:val="null3"/>
              <w:jc w:val="both"/>
            </w:pPr>
            <w:r>
              <w:rPr>
                <w:rFonts w:ascii="仿宋_GB2312" w:hAnsi="仿宋_GB2312" w:cs="仿宋_GB2312" w:eastAsia="仿宋_GB2312"/>
                <w:sz w:val="24"/>
              </w:rPr>
              <w:t>三、工程目标和承诺</w:t>
            </w:r>
          </w:p>
          <w:p>
            <w:pPr>
              <w:pStyle w:val="null3"/>
              <w:jc w:val="both"/>
            </w:pPr>
            <w:r>
              <w:rPr>
                <w:rFonts w:ascii="仿宋_GB2312" w:hAnsi="仿宋_GB2312" w:cs="仿宋_GB2312" w:eastAsia="仿宋_GB2312"/>
                <w:sz w:val="24"/>
              </w:rPr>
              <w:t>1、工期：180日历天。</w:t>
            </w:r>
          </w:p>
          <w:p>
            <w:pPr>
              <w:pStyle w:val="null3"/>
              <w:jc w:val="both"/>
            </w:pPr>
            <w:r>
              <w:rPr>
                <w:rFonts w:ascii="仿宋_GB2312" w:hAnsi="仿宋_GB2312" w:cs="仿宋_GB2312" w:eastAsia="仿宋_GB2312"/>
                <w:sz w:val="24"/>
              </w:rPr>
              <w:t>2、工程质量目标：达到国家现行施工验收规范“合格”标准。</w:t>
            </w:r>
          </w:p>
          <w:p>
            <w:pPr>
              <w:pStyle w:val="null3"/>
              <w:jc w:val="both"/>
            </w:pPr>
            <w:r>
              <w:rPr>
                <w:rFonts w:ascii="仿宋_GB2312" w:hAnsi="仿宋_GB2312" w:cs="仿宋_GB2312" w:eastAsia="仿宋_GB2312"/>
                <w:sz w:val="24"/>
              </w:rPr>
              <w:t>3、项目地点：王曲街道藏龙寨村村内。</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、质量保修期：一年。</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总工期：180日历天。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成交单位递交纸质文件（成交单位在领取中标通知书前将纸质版投标文件正本 1套、副本2 套打印盖章后提交至采购代理机构处，以便采购人进行留存备案等工作，成交单位应保持投标文件纸质版内容与电子版内容完全一致，否则将承担一切法律责任。纸质投标文件一律采用书籍(胶装)方式装订）。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项目经理须具备合法有效的市政工程专业【注册建造师二级】（含）以上执业资格，同时具备有效的安全生产考核合格证书（安全B证），在本单位注册且无在建工程。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法定代表人参加磋商的，须出示身份证明和身份证复印件；法定代表人授权他人参加磋商的，须提供法定代表人授权委托书及被授权人身份证复印件。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名单的供应商，不得为中国政府采购网（www.ccgp.gov.cn）政府采购“严重违法失信行为记录名单”中被财政部门禁止参加政府采购活动的供应商。 （供应商可不提供，以代理机构现场查询为准）。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提供非联合体投标声明（格式自拟）。</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已标价工程量清单 供应商认为需要提供的其他资料.docx 中小企业声明函 残疾人福利性单位声明函 报价函 标的清单 响应函 资格证明文件.docx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供应商提供已标价工程量清单</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供应商基本信息(实质性要求)</w:t>
            </w:r>
          </w:p>
        </w:tc>
        <w:tc>
          <w:tcPr>
            <w:tcW w:type="dxa" w:w="3322"/>
          </w:tcPr>
          <w:p>
            <w:pPr>
              <w:pStyle w:val="null3"/>
            </w:pPr>
            <w:r>
              <w:rPr>
                <w:rFonts w:ascii="仿宋_GB2312" w:hAnsi="仿宋_GB2312" w:cs="仿宋_GB2312" w:eastAsia="仿宋_GB2312"/>
              </w:rPr>
              <w:t>供应商提供的名称、签章等信息与营业执照、资质证书等一致</w:t>
            </w:r>
          </w:p>
        </w:tc>
        <w:tc>
          <w:tcPr>
            <w:tcW w:type="dxa" w:w="1661"/>
          </w:tcPr>
          <w:p>
            <w:pPr>
              <w:pStyle w:val="null3"/>
            </w:pPr>
            <w:r>
              <w:rPr>
                <w:rFonts w:ascii="仿宋_GB2312" w:hAnsi="仿宋_GB2312" w:cs="仿宋_GB2312" w:eastAsia="仿宋_GB2312"/>
              </w:rPr>
              <w:t>响应文件封面 已标价工程量清单 供应商认为需要提供的其他资料.docx 中小企业声明函 残疾人福利性单位声明函 报价函 标的清单 响应函 资格证明文件.docx 监狱企业的证明文件 响应方案.docx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施工方案内容详细完整、思路科学合理、针对性强、充分满足服务要求，得12分； 施工方案内容较为完整、思路较为合理，具有一定针对性、基本可以满足服务要求，得9分； 施工方案内容基本完整、思路基本合理，针对性弱、部分可以满足服务要求，得6分； 施工方案内容不完整、思路模糊，针对性差，不能满足服务要求，得3分； 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确保本项目质量的技术组织措施，措施严密、科学、有效，得8分； 措施比较严密、科学、有效，得6分； 措施基本科学、有效，得4分； 措施存在不足，得2分；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确保安全生产和文明施工的技术组织措施，措施严密、科学、有效，得8分； 措施比较严密、科学、有效，得6分； 措施基本科学、有效，得4分； 措施存在不足，得2分；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确保工期的技术组织措施，措施严密、科学、有效，得8分； 措施比较严密、科学、有效，得6分； 措施基本科学、有效，得4分； 措施存在不足，得2分；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确保治污减霾和防尘污染的技术组织措施，措施严密、科学、有效，得8分； 措施比较严密、科学、有效，得6分； 措施基本科学、有效，得4分； 措施存在不足，得2分；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项目经理部组成及劳动力投入人员结构合理，人员配备齐全，管理人员经验丰富，能够完全满足项目的需求，得8分； 项目经理部组成及劳动力投入人员结构比较合理，人员配备比较齐全，管理人员经验比较丰富，得6分； 项目经理部组成及劳动力投入人员结构基本合理，人员配备基本齐全，管理人员有一定的经验，得4分； 项目经理部组成及劳动力投入人员结构有缺陷，人员配备缺失，管理人员经验不足，得2分；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施工机械及工器具的配备情况合理、齐全，能够完全满足项目的需求，得8分； 施工机械及工器具的配备情况比较合理、比较齐全，得6分； 施工机械及工器具的配备情况基本合理、基本齐全，得4分； 施工机械及工器具的配备情况不足，得2分；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建议内容科学可行，有针对性且内容丰富，得4分； 建议内容较为可行，针对性较强，得3分； 建议内容相对可行，针对性相对较强，得2分； 建议内容基本可行，具有一定的针对性，得1分；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供应商提供2022年1月1日以来类似项目业绩合同（以合同签订时间为准），每份计2分，满分6分。（注：以上证明文件在磋商响应文件中附业绩合同扫描件并加盖公章）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2.满足磋商文件实质性要求且最终报价最低的供应商的价格为磋商基准价，其价格分为满分 30 分。 3.磋商报价得分=（磋商基准价/有效磋商报价）×30。 4.磋商报价不完整的，不得进入磋商基准价的计算，本项得 0 分。 5.本项目专门面向中小企业，不再单独进行价格扣除。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