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2680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aps w:val="0"/>
          <w:color w:val="auto"/>
          <w:sz w:val="52"/>
          <w:szCs w:val="52"/>
          <w:highlight w:val="none"/>
          <w:lang w:eastAsia="zh-CN"/>
        </w:rPr>
      </w:pPr>
    </w:p>
    <w:p w14:paraId="6A3197C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aps w:val="0"/>
          <w:color w:val="auto"/>
          <w:sz w:val="52"/>
          <w:szCs w:val="52"/>
          <w:highlight w:val="none"/>
          <w:lang w:eastAsia="zh-CN"/>
        </w:rPr>
      </w:pPr>
      <w:r>
        <w:rPr>
          <w:rFonts w:hint="eastAsia" w:ascii="仿宋" w:hAnsi="仿宋" w:eastAsia="仿宋" w:cs="仿宋"/>
          <w:b/>
          <w:bCs/>
          <w:caps w:val="0"/>
          <w:color w:val="auto"/>
          <w:sz w:val="52"/>
          <w:szCs w:val="52"/>
          <w:highlight w:val="none"/>
          <w:lang w:eastAsia="zh-CN"/>
        </w:rPr>
        <w:t>长安区综治视联网补充建设项目</w:t>
      </w:r>
    </w:p>
    <w:p w14:paraId="31162C3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aps w:val="0"/>
          <w:color w:val="auto"/>
          <w:sz w:val="52"/>
          <w:szCs w:val="52"/>
          <w:highlight w:val="none"/>
          <w:lang w:eastAsia="zh-CN"/>
        </w:rPr>
      </w:pPr>
    </w:p>
    <w:p w14:paraId="480CB13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aps w:val="0"/>
          <w:color w:val="auto"/>
          <w:sz w:val="52"/>
          <w:szCs w:val="52"/>
          <w:highlight w:val="none"/>
          <w:lang w:eastAsia="zh-CN"/>
        </w:rPr>
      </w:pPr>
    </w:p>
    <w:p w14:paraId="1E5BECE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bCs/>
          <w:caps w:val="0"/>
          <w:color w:val="auto"/>
          <w:sz w:val="52"/>
          <w:szCs w:val="52"/>
          <w:highlight w:val="none"/>
          <w:lang w:val="en-US" w:eastAsia="zh-CN"/>
        </w:rPr>
      </w:pPr>
    </w:p>
    <w:p w14:paraId="4A25A6A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aps w:val="0"/>
          <w:color w:val="auto"/>
          <w:sz w:val="52"/>
          <w:szCs w:val="52"/>
          <w:highlight w:val="none"/>
          <w:lang w:eastAsia="zh-CN"/>
        </w:rPr>
      </w:pPr>
      <w:r>
        <w:rPr>
          <w:rFonts w:hint="eastAsia" w:ascii="仿宋" w:hAnsi="仿宋" w:eastAsia="仿宋" w:cs="仿宋"/>
          <w:b/>
          <w:bCs/>
          <w:caps w:val="0"/>
          <w:color w:val="auto"/>
          <w:sz w:val="52"/>
          <w:szCs w:val="52"/>
          <w:highlight w:val="none"/>
          <w:lang w:val="en-US" w:eastAsia="zh-CN"/>
        </w:rPr>
        <w:t>货物</w:t>
      </w:r>
      <w:r>
        <w:rPr>
          <w:rFonts w:hint="eastAsia" w:ascii="仿宋" w:hAnsi="仿宋" w:eastAsia="仿宋" w:cs="仿宋"/>
          <w:b/>
          <w:bCs/>
          <w:caps w:val="0"/>
          <w:color w:val="auto"/>
          <w:sz w:val="52"/>
          <w:szCs w:val="52"/>
          <w:highlight w:val="none"/>
        </w:rPr>
        <w:t>合同</w:t>
      </w:r>
    </w:p>
    <w:p w14:paraId="0EB57F2A">
      <w:pPr>
        <w:keepNext w:val="0"/>
        <w:keepLines w:val="0"/>
        <w:pageBreakBefore w:val="0"/>
        <w:widowControl/>
        <w:kinsoku w:val="0"/>
        <w:wordWrap/>
        <w:overflowPunct/>
        <w:topLinePunct w:val="0"/>
        <w:autoSpaceDE w:val="0"/>
        <w:autoSpaceDN w:val="0"/>
        <w:bidi w:val="0"/>
        <w:adjustRightInd w:val="0"/>
        <w:snapToGrid w:val="0"/>
        <w:spacing w:line="360" w:lineRule="auto"/>
        <w:ind w:firstLine="2811" w:firstLineChars="1000"/>
        <w:jc w:val="both"/>
        <w:textAlignment w:val="baseline"/>
        <w:rPr>
          <w:rFonts w:hint="eastAsia" w:ascii="仿宋" w:hAnsi="仿宋" w:eastAsia="仿宋" w:cs="仿宋"/>
          <w:b/>
          <w:bCs/>
          <w:caps w:val="0"/>
          <w:color w:val="auto"/>
          <w:sz w:val="28"/>
          <w:szCs w:val="28"/>
          <w:highlight w:val="none"/>
        </w:rPr>
      </w:pPr>
      <w:r>
        <w:rPr>
          <w:rFonts w:hint="eastAsia" w:ascii="仿宋" w:hAnsi="仿宋" w:eastAsia="仿宋" w:cs="仿宋"/>
          <w:b/>
          <w:bCs/>
          <w:caps w:val="0"/>
          <w:color w:val="auto"/>
          <w:sz w:val="28"/>
          <w:szCs w:val="28"/>
          <w:highlight w:val="none"/>
        </w:rPr>
        <w:t>项目编号：</w:t>
      </w:r>
      <w:r>
        <w:rPr>
          <w:rFonts w:hint="eastAsia" w:ascii="仿宋" w:hAnsi="仿宋" w:eastAsia="仿宋" w:cs="仿宋"/>
          <w:b/>
          <w:bCs/>
          <w:caps w:val="0"/>
          <w:color w:val="auto"/>
          <w:sz w:val="28"/>
          <w:szCs w:val="28"/>
          <w:highlight w:val="none"/>
          <w:u w:val="single"/>
          <w:lang w:val="en-US" w:eastAsia="zh-CN"/>
        </w:rPr>
        <w:t xml:space="preserve">          </w:t>
      </w:r>
      <w:r>
        <w:rPr>
          <w:rFonts w:hint="eastAsia" w:ascii="仿宋" w:hAnsi="仿宋" w:eastAsia="仿宋" w:cs="仿宋"/>
          <w:b/>
          <w:bCs/>
          <w:caps w:val="0"/>
          <w:color w:val="auto"/>
          <w:sz w:val="28"/>
          <w:szCs w:val="28"/>
          <w:highlight w:val="none"/>
        </w:rPr>
        <w:t xml:space="preserve"> </w:t>
      </w:r>
    </w:p>
    <w:p w14:paraId="68DC3C0D">
      <w:pPr>
        <w:numPr>
          <w:ilvl w:val="0"/>
          <w:numId w:val="0"/>
        </w:numPr>
        <w:kinsoku w:val="0"/>
        <w:autoSpaceDE w:val="0"/>
        <w:autoSpaceDN w:val="0"/>
        <w:adjustRightInd w:val="0"/>
        <w:snapToGrid w:val="0"/>
        <w:spacing w:line="360" w:lineRule="auto"/>
        <w:jc w:val="center"/>
        <w:textAlignment w:val="baseline"/>
        <w:rPr>
          <w:rFonts w:hint="eastAsia" w:ascii="仿宋" w:hAnsi="仿宋" w:eastAsia="仿宋" w:cs="仿宋"/>
          <w:b/>
          <w:snapToGrid w:val="0"/>
          <w:color w:val="000000"/>
          <w:kern w:val="44"/>
          <w:sz w:val="44"/>
          <w:szCs w:val="21"/>
          <w:highlight w:val="none"/>
          <w:lang w:val="en-US" w:eastAsia="en-US" w:bidi="ar-SA"/>
        </w:rPr>
      </w:pPr>
    </w:p>
    <w:p w14:paraId="06BD35DB">
      <w:pPr>
        <w:pStyle w:val="2"/>
        <w:rPr>
          <w:rFonts w:hint="eastAsia" w:ascii="仿宋" w:hAnsi="仿宋" w:eastAsia="仿宋" w:cs="仿宋"/>
          <w:b/>
          <w:snapToGrid w:val="0"/>
          <w:color w:val="000000"/>
          <w:kern w:val="44"/>
          <w:sz w:val="44"/>
          <w:szCs w:val="21"/>
          <w:highlight w:val="none"/>
          <w:lang w:val="en-US" w:eastAsia="en-US" w:bidi="ar-SA"/>
        </w:rPr>
      </w:pPr>
    </w:p>
    <w:p w14:paraId="432CBEBB">
      <w:pPr>
        <w:pStyle w:val="2"/>
        <w:rPr>
          <w:rFonts w:hint="eastAsia" w:ascii="仿宋" w:hAnsi="仿宋" w:eastAsia="仿宋" w:cs="仿宋"/>
          <w:b/>
          <w:snapToGrid w:val="0"/>
          <w:color w:val="000000"/>
          <w:kern w:val="44"/>
          <w:sz w:val="44"/>
          <w:szCs w:val="21"/>
          <w:highlight w:val="none"/>
          <w:lang w:val="en-US" w:eastAsia="en-US" w:bidi="ar-SA"/>
        </w:rPr>
      </w:pPr>
    </w:p>
    <w:p w14:paraId="411878CE">
      <w:pPr>
        <w:numPr>
          <w:ilvl w:val="0"/>
          <w:numId w:val="0"/>
        </w:numPr>
        <w:spacing w:line="360" w:lineRule="auto"/>
        <w:jc w:val="left"/>
        <w:rPr>
          <w:rFonts w:hint="eastAsia" w:ascii="仿宋" w:hAnsi="仿宋" w:eastAsia="仿宋" w:cs="仿宋"/>
          <w:sz w:val="24"/>
        </w:rPr>
      </w:pPr>
    </w:p>
    <w:p w14:paraId="7DA904EA">
      <w:pPr>
        <w:keepNext w:val="0"/>
        <w:keepLines w:val="0"/>
        <w:pageBreakBefore w:val="0"/>
        <w:widowControl/>
        <w:kinsoku w:val="0"/>
        <w:wordWrap/>
        <w:overflowPunct/>
        <w:topLinePunct w:val="0"/>
        <w:autoSpaceDE w:val="0"/>
        <w:autoSpaceDN w:val="0"/>
        <w:bidi w:val="0"/>
        <w:adjustRightInd w:val="0"/>
        <w:snapToGrid w:val="0"/>
        <w:spacing w:line="480" w:lineRule="auto"/>
        <w:ind w:firstLine="1446" w:firstLineChars="600"/>
        <w:jc w:val="left"/>
        <w:textAlignment w:val="baseline"/>
        <w:rPr>
          <w:rFonts w:hint="eastAsia" w:ascii="仿宋" w:hAnsi="仿宋" w:eastAsia="仿宋" w:cs="仿宋"/>
          <w:b/>
          <w:bCs/>
          <w:sz w:val="24"/>
          <w:lang w:eastAsia="zh-CN"/>
        </w:rPr>
      </w:pPr>
    </w:p>
    <w:p w14:paraId="3070FF16">
      <w:pPr>
        <w:keepNext w:val="0"/>
        <w:keepLines w:val="0"/>
        <w:pageBreakBefore w:val="0"/>
        <w:widowControl/>
        <w:kinsoku w:val="0"/>
        <w:wordWrap/>
        <w:overflowPunct/>
        <w:topLinePunct w:val="0"/>
        <w:autoSpaceDE w:val="0"/>
        <w:autoSpaceDN w:val="0"/>
        <w:bidi w:val="0"/>
        <w:adjustRightInd w:val="0"/>
        <w:snapToGrid w:val="0"/>
        <w:spacing w:line="480" w:lineRule="auto"/>
        <w:ind w:firstLine="1446" w:firstLineChars="600"/>
        <w:jc w:val="left"/>
        <w:textAlignment w:val="baseline"/>
        <w:rPr>
          <w:rFonts w:hint="eastAsia" w:ascii="仿宋" w:hAnsi="仿宋" w:eastAsia="仿宋" w:cs="仿宋"/>
          <w:b/>
          <w:bCs/>
          <w:sz w:val="24"/>
          <w:lang w:eastAsia="zh-CN"/>
        </w:rPr>
      </w:pPr>
    </w:p>
    <w:p w14:paraId="26772FF1">
      <w:pPr>
        <w:keepNext w:val="0"/>
        <w:keepLines w:val="0"/>
        <w:pageBreakBefore w:val="0"/>
        <w:widowControl/>
        <w:kinsoku w:val="0"/>
        <w:wordWrap/>
        <w:overflowPunct/>
        <w:topLinePunct w:val="0"/>
        <w:autoSpaceDE w:val="0"/>
        <w:autoSpaceDN w:val="0"/>
        <w:bidi w:val="0"/>
        <w:adjustRightInd w:val="0"/>
        <w:snapToGrid w:val="0"/>
        <w:spacing w:line="480" w:lineRule="auto"/>
        <w:ind w:firstLine="1446" w:firstLineChars="600"/>
        <w:jc w:val="left"/>
        <w:textAlignment w:val="baseline"/>
        <w:rPr>
          <w:rFonts w:hint="eastAsia" w:ascii="仿宋" w:hAnsi="仿宋" w:eastAsia="仿宋" w:cs="仿宋"/>
          <w:b/>
          <w:bCs/>
          <w:sz w:val="24"/>
          <w:lang w:val="en-US" w:eastAsia="zh-CN"/>
        </w:rPr>
      </w:pPr>
      <w:r>
        <w:rPr>
          <w:rFonts w:hint="eastAsia" w:ascii="仿宋" w:hAnsi="仿宋" w:eastAsia="仿宋" w:cs="仿宋"/>
          <w:b/>
          <w:bCs/>
          <w:sz w:val="24"/>
          <w:lang w:eastAsia="zh-CN"/>
        </w:rPr>
        <w:t>甲方名称</w:t>
      </w:r>
      <w:r>
        <w:rPr>
          <w:rFonts w:hint="eastAsia" w:ascii="仿宋" w:hAnsi="仿宋" w:eastAsia="仿宋" w:cs="仿宋"/>
          <w:b/>
          <w:bCs/>
          <w:sz w:val="24"/>
          <w:lang w:val="en-US" w:eastAsia="zh-CN"/>
        </w:rPr>
        <w:t>:中共西安市长安区委社会工作部</w:t>
      </w:r>
    </w:p>
    <w:p w14:paraId="0982EC55">
      <w:pPr>
        <w:keepNext w:val="0"/>
        <w:keepLines w:val="0"/>
        <w:pageBreakBefore w:val="0"/>
        <w:widowControl/>
        <w:kinsoku w:val="0"/>
        <w:wordWrap/>
        <w:overflowPunct/>
        <w:topLinePunct w:val="0"/>
        <w:autoSpaceDE w:val="0"/>
        <w:autoSpaceDN w:val="0"/>
        <w:bidi w:val="0"/>
        <w:adjustRightInd w:val="0"/>
        <w:snapToGrid w:val="0"/>
        <w:spacing w:line="480" w:lineRule="auto"/>
        <w:ind w:firstLine="1446" w:firstLineChars="600"/>
        <w:jc w:val="left"/>
        <w:textAlignment w:val="baseline"/>
        <w:rPr>
          <w:rFonts w:hint="eastAsia" w:ascii="仿宋" w:hAnsi="仿宋" w:eastAsia="仿宋" w:cs="仿宋"/>
          <w:b/>
          <w:bCs/>
          <w:sz w:val="24"/>
          <w:lang w:val="en-US" w:eastAsia="zh-CN"/>
        </w:rPr>
      </w:pPr>
      <w:r>
        <w:rPr>
          <w:rFonts w:hint="eastAsia" w:ascii="仿宋" w:hAnsi="仿宋" w:eastAsia="仿宋" w:cs="仿宋"/>
          <w:b/>
          <w:bCs/>
          <w:sz w:val="24"/>
          <w:lang w:val="en-US" w:eastAsia="zh-CN"/>
        </w:rPr>
        <w:t>乙方名称：</w:t>
      </w:r>
      <w:r>
        <w:rPr>
          <w:rFonts w:hint="eastAsia" w:ascii="仿宋" w:hAnsi="仿宋" w:eastAsia="仿宋" w:cs="仿宋"/>
          <w:b/>
          <w:bCs/>
          <w:sz w:val="24"/>
          <w:u w:val="single"/>
        </w:rPr>
        <w:t xml:space="preserve">                              </w:t>
      </w:r>
      <w:r>
        <w:rPr>
          <w:rFonts w:hint="eastAsia" w:ascii="仿宋" w:hAnsi="仿宋" w:eastAsia="仿宋" w:cs="仿宋"/>
          <w:b/>
          <w:bCs/>
          <w:sz w:val="24"/>
          <w:u w:val="single"/>
          <w:lang w:val="en-US" w:eastAsia="zh-CN"/>
        </w:rPr>
        <w:t xml:space="preserve"> </w:t>
      </w:r>
    </w:p>
    <w:p w14:paraId="65E1F83C">
      <w:pPr>
        <w:keepNext w:val="0"/>
        <w:keepLines w:val="0"/>
        <w:pageBreakBefore w:val="0"/>
        <w:widowControl/>
        <w:kinsoku w:val="0"/>
        <w:wordWrap/>
        <w:overflowPunct/>
        <w:topLinePunct w:val="0"/>
        <w:autoSpaceDE w:val="0"/>
        <w:autoSpaceDN w:val="0"/>
        <w:bidi w:val="0"/>
        <w:adjustRightInd w:val="0"/>
        <w:snapToGrid w:val="0"/>
        <w:spacing w:line="480" w:lineRule="auto"/>
        <w:ind w:firstLine="1446" w:firstLineChars="600"/>
        <w:jc w:val="left"/>
        <w:textAlignment w:val="baseline"/>
        <w:rPr>
          <w:rFonts w:hint="eastAsia" w:ascii="仿宋" w:hAnsi="仿宋" w:eastAsia="仿宋" w:cs="仿宋"/>
          <w:b/>
          <w:bCs/>
          <w:sz w:val="24"/>
          <w:u w:val="single"/>
          <w:lang w:val="en-US" w:eastAsia="zh-CN"/>
        </w:rPr>
      </w:pPr>
      <w:r>
        <w:rPr>
          <w:rFonts w:hint="eastAsia" w:ascii="仿宋" w:hAnsi="仿宋" w:eastAsia="仿宋" w:cs="仿宋"/>
          <w:b/>
          <w:bCs/>
          <w:sz w:val="24"/>
        </w:rPr>
        <w:t>签订时间：</w:t>
      </w:r>
      <w:r>
        <w:rPr>
          <w:rFonts w:hint="eastAsia" w:ascii="仿宋" w:hAnsi="仿宋" w:eastAsia="仿宋" w:cs="仿宋"/>
          <w:b/>
          <w:bCs/>
          <w:sz w:val="24"/>
          <w:u w:val="single"/>
          <w:lang w:val="en-US" w:eastAsia="zh-CN"/>
        </w:rPr>
        <w:t xml:space="preserve">  2025  </w:t>
      </w:r>
      <w:r>
        <w:rPr>
          <w:rFonts w:hint="eastAsia" w:ascii="仿宋" w:hAnsi="仿宋" w:eastAsia="仿宋" w:cs="仿宋"/>
          <w:b/>
          <w:bCs/>
          <w:sz w:val="24"/>
          <w:lang w:val="en-US" w:eastAsia="zh-CN"/>
        </w:rPr>
        <w:t>年</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none"/>
          <w:lang w:val="en-US" w:eastAsia="zh-CN"/>
        </w:rPr>
        <w:t>月</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none"/>
          <w:lang w:val="en-US" w:eastAsia="zh-CN"/>
        </w:rPr>
        <w:t>日</w:t>
      </w:r>
    </w:p>
    <w:p w14:paraId="1F4AA0F8">
      <w:pPr>
        <w:ind w:firstLine="361" w:firstLineChars="150"/>
        <w:jc w:val="center"/>
        <w:rPr>
          <w:rFonts w:hint="eastAsia" w:ascii="仿宋" w:hAnsi="仿宋" w:eastAsia="仿宋" w:cs="仿宋"/>
          <w:b/>
          <w:sz w:val="24"/>
          <w:highlight w:val="none"/>
          <w:lang w:val="zh-CN"/>
        </w:rPr>
      </w:pPr>
    </w:p>
    <w:p w14:paraId="096DBF95">
      <w:pPr>
        <w:ind w:firstLine="361" w:firstLineChars="150"/>
        <w:jc w:val="center"/>
        <w:rPr>
          <w:rFonts w:hint="eastAsia" w:ascii="仿宋" w:hAnsi="仿宋" w:eastAsia="仿宋" w:cs="仿宋"/>
          <w:highlight w:val="none"/>
        </w:rPr>
      </w:pPr>
      <w:r>
        <w:rPr>
          <w:rFonts w:hint="eastAsia" w:ascii="仿宋" w:hAnsi="仿宋" w:eastAsia="仿宋" w:cs="仿宋"/>
          <w:b/>
          <w:sz w:val="24"/>
          <w:highlight w:val="none"/>
          <w:lang w:val="zh-CN"/>
        </w:rPr>
        <w:t>（此合同只作为参考，最终签订的合同以采购人确定的合同内容为准）</w:t>
      </w:r>
    </w:p>
    <w:p w14:paraId="7A5E06E1">
      <w:pPr>
        <w:rPr>
          <w:rFonts w:hint="eastAsia" w:ascii="仿宋" w:hAnsi="仿宋" w:eastAsia="仿宋" w:cs="仿宋"/>
          <w:b/>
          <w:color w:val="auto"/>
          <w:sz w:val="32"/>
          <w:szCs w:val="22"/>
          <w:lang w:eastAsia="zh-CN"/>
        </w:rPr>
      </w:pPr>
      <w:r>
        <w:rPr>
          <w:rFonts w:hint="eastAsia" w:ascii="仿宋" w:hAnsi="仿宋" w:eastAsia="仿宋" w:cs="仿宋"/>
          <w:b/>
          <w:color w:val="auto"/>
          <w:sz w:val="32"/>
          <w:szCs w:val="22"/>
          <w:lang w:eastAsia="zh-CN"/>
        </w:rPr>
        <w:br w:type="page"/>
      </w:r>
    </w:p>
    <w:p w14:paraId="06975C18">
      <w:pPr>
        <w:shd w:val="clear" w:color="auto" w:fill="auto"/>
        <w:spacing w:line="360" w:lineRule="auto"/>
        <w:ind w:firstLine="480" w:firstLineChars="200"/>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p>
    <w:p w14:paraId="797A6381">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（中标单位名称）</w:t>
      </w:r>
    </w:p>
    <w:p w14:paraId="177E1E9A">
      <w:pPr>
        <w:numPr>
          <w:ilvl w:val="0"/>
          <w:numId w:val="1"/>
        </w:num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合同内容:</w:t>
      </w:r>
    </w:p>
    <w:tbl>
      <w:tblPr>
        <w:tblStyle w:val="3"/>
        <w:tblpPr w:leftFromText="180" w:rightFromText="180" w:vertAnchor="text" w:horzAnchor="page" w:tblpX="1994" w:tblpY="17"/>
        <w:tblOverlap w:val="never"/>
        <w:tblW w:w="8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689"/>
        <w:gridCol w:w="740"/>
        <w:gridCol w:w="726"/>
        <w:gridCol w:w="1340"/>
        <w:gridCol w:w="1280"/>
        <w:gridCol w:w="878"/>
      </w:tblGrid>
      <w:tr w14:paraId="7581F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586" w:type="dxa"/>
            <w:tcBorders>
              <w:top w:val="single" w:color="auto" w:sz="4" w:space="0"/>
              <w:left w:val="single" w:color="auto" w:sz="4" w:space="0"/>
              <w:bottom w:val="single" w:color="auto" w:sz="4" w:space="0"/>
              <w:right w:val="single" w:color="auto" w:sz="4" w:space="0"/>
            </w:tcBorders>
            <w:vAlign w:val="center"/>
          </w:tcPr>
          <w:p w14:paraId="060A4570">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1689" w:type="dxa"/>
            <w:tcBorders>
              <w:top w:val="single" w:color="auto" w:sz="4" w:space="0"/>
              <w:left w:val="single" w:color="auto" w:sz="4" w:space="0"/>
              <w:bottom w:val="single" w:color="auto" w:sz="4" w:space="0"/>
              <w:right w:val="single" w:color="auto" w:sz="4" w:space="0"/>
            </w:tcBorders>
            <w:vAlign w:val="center"/>
          </w:tcPr>
          <w:p w14:paraId="3C74A563">
            <w:pPr>
              <w:shd w:val="clear" w:color="auto" w:fill="auto"/>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品牌规格</w:t>
            </w:r>
          </w:p>
        </w:tc>
        <w:tc>
          <w:tcPr>
            <w:tcW w:w="740" w:type="dxa"/>
            <w:tcBorders>
              <w:top w:val="single" w:color="auto" w:sz="4" w:space="0"/>
              <w:left w:val="single" w:color="auto" w:sz="4" w:space="0"/>
              <w:bottom w:val="single" w:color="auto" w:sz="4" w:space="0"/>
              <w:right w:val="single" w:color="auto" w:sz="4" w:space="0"/>
            </w:tcBorders>
            <w:vAlign w:val="center"/>
          </w:tcPr>
          <w:p w14:paraId="133487EA">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26" w:type="dxa"/>
            <w:tcBorders>
              <w:top w:val="single" w:color="auto" w:sz="4" w:space="0"/>
              <w:left w:val="single" w:color="auto" w:sz="4" w:space="0"/>
              <w:bottom w:val="single" w:color="auto" w:sz="4" w:space="0"/>
              <w:right w:val="single" w:color="auto" w:sz="4" w:space="0"/>
            </w:tcBorders>
            <w:vAlign w:val="center"/>
          </w:tcPr>
          <w:p w14:paraId="22A43AAC">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40" w:type="dxa"/>
            <w:tcBorders>
              <w:top w:val="single" w:color="auto" w:sz="4" w:space="0"/>
              <w:left w:val="single" w:color="auto" w:sz="4" w:space="0"/>
              <w:bottom w:val="single" w:color="auto" w:sz="4" w:space="0"/>
              <w:right w:val="single" w:color="auto" w:sz="4" w:space="0"/>
            </w:tcBorders>
            <w:vAlign w:val="center"/>
          </w:tcPr>
          <w:p w14:paraId="03D63DED">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1280" w:type="dxa"/>
            <w:tcBorders>
              <w:top w:val="single" w:color="auto" w:sz="4" w:space="0"/>
              <w:left w:val="single" w:color="auto" w:sz="4" w:space="0"/>
              <w:bottom w:val="single" w:color="auto" w:sz="4" w:space="0"/>
              <w:right w:val="single" w:color="auto" w:sz="4" w:space="0"/>
            </w:tcBorders>
            <w:vAlign w:val="center"/>
          </w:tcPr>
          <w:p w14:paraId="7180B58A">
            <w:pPr>
              <w:shd w:val="clear" w:color="auto" w:fill="auto"/>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总价（元）</w:t>
            </w:r>
          </w:p>
        </w:tc>
        <w:tc>
          <w:tcPr>
            <w:tcW w:w="878" w:type="dxa"/>
            <w:tcBorders>
              <w:top w:val="single" w:color="auto" w:sz="4" w:space="0"/>
              <w:left w:val="single" w:color="auto" w:sz="4" w:space="0"/>
              <w:bottom w:val="single" w:color="auto" w:sz="4" w:space="0"/>
              <w:right w:val="single" w:color="auto" w:sz="4" w:space="0"/>
            </w:tcBorders>
            <w:vAlign w:val="center"/>
          </w:tcPr>
          <w:p w14:paraId="6C6535E8">
            <w:pPr>
              <w:shd w:val="clear" w:color="auto" w:fill="auto"/>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6712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586" w:type="dxa"/>
            <w:tcBorders>
              <w:top w:val="single" w:color="auto" w:sz="4" w:space="0"/>
              <w:left w:val="single" w:color="auto" w:sz="4" w:space="0"/>
              <w:bottom w:val="single" w:color="auto" w:sz="4" w:space="0"/>
              <w:right w:val="single" w:color="auto" w:sz="4" w:space="0"/>
            </w:tcBorders>
            <w:vAlign w:val="center"/>
          </w:tcPr>
          <w:p w14:paraId="2E5D9D32">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14:paraId="63B0FA0F">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740" w:type="dxa"/>
            <w:tcBorders>
              <w:top w:val="single" w:color="auto" w:sz="4" w:space="0"/>
              <w:left w:val="single" w:color="auto" w:sz="4" w:space="0"/>
              <w:bottom w:val="single" w:color="auto" w:sz="4" w:space="0"/>
              <w:right w:val="single" w:color="auto" w:sz="4" w:space="0"/>
            </w:tcBorders>
            <w:vAlign w:val="center"/>
          </w:tcPr>
          <w:p w14:paraId="37489720">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726" w:type="dxa"/>
            <w:tcBorders>
              <w:top w:val="single" w:color="auto" w:sz="4" w:space="0"/>
              <w:left w:val="single" w:color="auto" w:sz="4" w:space="0"/>
              <w:bottom w:val="single" w:color="auto" w:sz="4" w:space="0"/>
              <w:right w:val="single" w:color="auto" w:sz="4" w:space="0"/>
            </w:tcBorders>
            <w:vAlign w:val="center"/>
          </w:tcPr>
          <w:p w14:paraId="22E059BD">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1340" w:type="dxa"/>
            <w:tcBorders>
              <w:top w:val="single" w:color="auto" w:sz="4" w:space="0"/>
              <w:left w:val="single" w:color="auto" w:sz="4" w:space="0"/>
              <w:bottom w:val="single" w:color="auto" w:sz="4" w:space="0"/>
              <w:right w:val="single" w:color="auto" w:sz="4" w:space="0"/>
            </w:tcBorders>
            <w:vAlign w:val="center"/>
          </w:tcPr>
          <w:p w14:paraId="73FD014F">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1280" w:type="dxa"/>
            <w:tcBorders>
              <w:top w:val="single" w:color="auto" w:sz="4" w:space="0"/>
              <w:left w:val="single" w:color="auto" w:sz="4" w:space="0"/>
              <w:bottom w:val="single" w:color="auto" w:sz="4" w:space="0"/>
              <w:right w:val="single" w:color="auto" w:sz="4" w:space="0"/>
            </w:tcBorders>
            <w:vAlign w:val="center"/>
          </w:tcPr>
          <w:p w14:paraId="61FCA0DD">
            <w:pPr>
              <w:shd w:val="clear" w:color="auto" w:fill="auto"/>
              <w:spacing w:line="360" w:lineRule="auto"/>
              <w:ind w:firstLine="480" w:firstLineChars="200"/>
              <w:rPr>
                <w:rFonts w:hint="eastAsia" w:ascii="仿宋" w:hAnsi="仿宋" w:eastAsia="仿宋" w:cs="仿宋"/>
                <w:color w:val="auto"/>
                <w:sz w:val="24"/>
                <w:szCs w:val="24"/>
                <w:highlight w:val="none"/>
              </w:rPr>
            </w:pPr>
          </w:p>
        </w:tc>
        <w:tc>
          <w:tcPr>
            <w:tcW w:w="878" w:type="dxa"/>
            <w:tcBorders>
              <w:top w:val="single" w:color="auto" w:sz="4" w:space="0"/>
              <w:left w:val="single" w:color="auto" w:sz="4" w:space="0"/>
              <w:bottom w:val="single" w:color="auto" w:sz="4" w:space="0"/>
              <w:right w:val="single" w:color="auto" w:sz="4" w:space="0"/>
            </w:tcBorders>
            <w:vAlign w:val="center"/>
          </w:tcPr>
          <w:p w14:paraId="1C4518CB">
            <w:pPr>
              <w:shd w:val="clear" w:color="auto" w:fill="auto"/>
              <w:spacing w:line="360" w:lineRule="auto"/>
              <w:ind w:firstLine="480" w:firstLineChars="200"/>
              <w:rPr>
                <w:rFonts w:hint="eastAsia" w:ascii="仿宋" w:hAnsi="仿宋" w:eastAsia="仿宋" w:cs="仿宋"/>
                <w:color w:val="auto"/>
                <w:sz w:val="24"/>
                <w:szCs w:val="24"/>
                <w:highlight w:val="none"/>
              </w:rPr>
            </w:pPr>
          </w:p>
        </w:tc>
      </w:tr>
      <w:tr w14:paraId="707E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86" w:type="dxa"/>
            <w:tcBorders>
              <w:top w:val="single" w:color="auto" w:sz="4" w:space="0"/>
              <w:left w:val="single" w:color="auto" w:sz="4" w:space="0"/>
              <w:bottom w:val="single" w:color="auto" w:sz="4" w:space="0"/>
              <w:right w:val="single" w:color="auto" w:sz="4" w:space="0"/>
            </w:tcBorders>
            <w:vAlign w:val="center"/>
          </w:tcPr>
          <w:p w14:paraId="0729D58B">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tc>
        <w:tc>
          <w:tcPr>
            <w:tcW w:w="6653" w:type="dxa"/>
            <w:gridSpan w:val="6"/>
            <w:tcBorders>
              <w:top w:val="single" w:color="auto" w:sz="4" w:space="0"/>
              <w:left w:val="single" w:color="auto" w:sz="4" w:space="0"/>
              <w:bottom w:val="single" w:color="auto" w:sz="4" w:space="0"/>
              <w:right w:val="single" w:color="auto" w:sz="4" w:space="0"/>
            </w:tcBorders>
            <w:vAlign w:val="center"/>
          </w:tcPr>
          <w:p w14:paraId="2F5717E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大写 ：     。￥     元</w:t>
            </w:r>
          </w:p>
        </w:tc>
      </w:tr>
    </w:tbl>
    <w:p w14:paraId="20EABEB8">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11A2C695">
      <w:pPr>
        <w:shd w:val="clear" w:color="auto" w:fill="auto"/>
        <w:spacing w:line="360" w:lineRule="auto"/>
        <w:ind w:firstLine="480" w:firstLineChars="200"/>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1、合同总价</w:t>
      </w:r>
      <w:r>
        <w:rPr>
          <w:rFonts w:hint="eastAsia" w:ascii="仿宋" w:hAnsi="仿宋" w:eastAsia="仿宋" w:cs="仿宋"/>
          <w:color w:val="auto"/>
          <w:sz w:val="24"/>
          <w:szCs w:val="24"/>
          <w:highlight w:val="none"/>
          <w:lang w:val="en-US" w:eastAsia="zh-CN"/>
        </w:rPr>
        <w:t>共计</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w:t>
      </w:r>
    </w:p>
    <w:p w14:paraId="5C1AB49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2、合同总价包括：</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负责完成产品及相关物件的运输、保管、安装，直至其产品在招标人指定地点安装完毕、产品投入运行，并经招标人验收合格。对因此而产生的费用以及保修期内的维修、保养等与项目发生的一切费用，全部由中标单位承担。</w:t>
      </w:r>
    </w:p>
    <w:p w14:paraId="300EB01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3、合同有效期内，合同总价一次包死，不受国家政策性调价或原材料价格变化及外汇汇率变化的影响，并作为最终结算的依据。</w:t>
      </w:r>
    </w:p>
    <w:p w14:paraId="32DB5623">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三、合同结算</w:t>
      </w:r>
    </w:p>
    <w:p w14:paraId="6F78E020">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1.合同签订后，甲方分两次向乙方付款。第一次付款节点为：合同签订后，达到付款条件起10日内，支付合同总价款的50％，</w:t>
      </w:r>
      <w:r>
        <w:rPr>
          <w:rFonts w:hint="eastAsia" w:ascii="仿宋" w:hAnsi="仿宋" w:eastAsia="仿宋" w:cs="仿宋"/>
          <w:color w:val="auto"/>
          <w:sz w:val="24"/>
          <w:szCs w:val="24"/>
          <w:highlight w:val="none"/>
          <w:u w:val="single"/>
          <w:lang w:val="en-US" w:eastAsia="zh-CN"/>
        </w:rPr>
        <w:t xml:space="preserve">  大写：  小写：      </w:t>
      </w:r>
      <w:r>
        <w:rPr>
          <w:rFonts w:hint="eastAsia" w:ascii="仿宋" w:hAnsi="仿宋" w:eastAsia="仿宋" w:cs="仿宋"/>
          <w:color w:val="auto"/>
          <w:sz w:val="24"/>
          <w:szCs w:val="24"/>
          <w:highlight w:val="none"/>
          <w:u w:val="none"/>
          <w:lang w:val="en-US" w:eastAsia="zh-CN"/>
        </w:rPr>
        <w:t>元</w:t>
      </w:r>
      <w:r>
        <w:rPr>
          <w:rFonts w:hint="eastAsia" w:ascii="仿宋" w:hAnsi="仿宋" w:eastAsia="仿宋" w:cs="仿宋"/>
          <w:color w:val="auto"/>
          <w:sz w:val="24"/>
          <w:szCs w:val="24"/>
          <w:highlight w:val="none"/>
          <w:lang w:val="en-US" w:eastAsia="zh-CN"/>
        </w:rPr>
        <w:t>，项目所有产品到货后提供合格证明及检验报告，安装调试验收合格后，甲方达到付款条件起10日内，</w:t>
      </w:r>
      <w:bookmarkStart w:id="0" w:name="_GoBack"/>
      <w:bookmarkEnd w:id="0"/>
      <w:r>
        <w:rPr>
          <w:rFonts w:hint="eastAsia" w:ascii="仿宋" w:hAnsi="仿宋" w:eastAsia="仿宋" w:cs="仿宋"/>
          <w:color w:val="auto"/>
          <w:sz w:val="24"/>
          <w:szCs w:val="24"/>
          <w:highlight w:val="none"/>
          <w:lang w:val="en-US" w:eastAsia="zh-CN"/>
        </w:rPr>
        <w:t>一次性付完剩余的所有合同价款的50％，</w:t>
      </w:r>
      <w:r>
        <w:rPr>
          <w:rFonts w:hint="eastAsia" w:ascii="仿宋" w:hAnsi="仿宋" w:eastAsia="仿宋" w:cs="仿宋"/>
          <w:color w:val="auto"/>
          <w:sz w:val="24"/>
          <w:szCs w:val="24"/>
          <w:highlight w:val="none"/>
          <w:u w:val="single"/>
          <w:lang w:val="en-US" w:eastAsia="zh-CN"/>
        </w:rPr>
        <w:t xml:space="preserve">  大写：    小写：    </w:t>
      </w:r>
      <w:r>
        <w:rPr>
          <w:rFonts w:hint="eastAsia" w:ascii="仿宋" w:hAnsi="仿宋" w:eastAsia="仿宋" w:cs="仿宋"/>
          <w:color w:val="auto"/>
          <w:sz w:val="24"/>
          <w:szCs w:val="24"/>
          <w:highlight w:val="none"/>
          <w:u w:val="none"/>
          <w:lang w:val="en-US" w:eastAsia="zh-CN"/>
        </w:rPr>
        <w:t>元</w:t>
      </w:r>
      <w:r>
        <w:rPr>
          <w:rFonts w:hint="eastAsia" w:ascii="仿宋" w:hAnsi="仿宋" w:eastAsia="仿宋" w:cs="仿宋"/>
          <w:color w:val="auto"/>
          <w:sz w:val="24"/>
          <w:szCs w:val="24"/>
          <w:highlight w:val="none"/>
          <w:lang w:val="en-US" w:eastAsia="zh-CN"/>
        </w:rPr>
        <w:t>。</w:t>
      </w:r>
    </w:p>
    <w:p w14:paraId="781849F1">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2.支付方式：银行转账。</w:t>
      </w:r>
    </w:p>
    <w:p w14:paraId="53C3E07B">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3.结算方式：乙方在接受付款前开具全额发票给甲方。</w:t>
      </w:r>
    </w:p>
    <w:p w14:paraId="255B5BF2">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四、交货条件:</w:t>
      </w:r>
    </w:p>
    <w:p w14:paraId="3303165E">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1、交货地点：采购人指定地点。</w:t>
      </w:r>
    </w:p>
    <w:p w14:paraId="426871AE">
      <w:pPr>
        <w:shd w:val="clear" w:color="auto" w:fill="auto"/>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2、交货期：合同签订后</w:t>
      </w:r>
      <w:r>
        <w:rPr>
          <w:rFonts w:hint="eastAsia" w:ascii="仿宋" w:hAnsi="仿宋" w:eastAsia="仿宋" w:cs="仿宋"/>
          <w:b w:val="0"/>
          <w:bCs/>
          <w:color w:val="auto"/>
          <w:sz w:val="24"/>
          <w:szCs w:val="24"/>
          <w:highlight w:val="none"/>
          <w:lang w:val="en-US" w:eastAsia="zh-CN"/>
        </w:rPr>
        <w:t>30</w:t>
      </w:r>
      <w:r>
        <w:rPr>
          <w:rFonts w:hint="eastAsia" w:ascii="仿宋" w:hAnsi="仿宋" w:eastAsia="仿宋" w:cs="仿宋"/>
          <w:b w:val="0"/>
          <w:bCs/>
          <w:color w:val="auto"/>
          <w:sz w:val="24"/>
          <w:szCs w:val="24"/>
          <w:highlight w:val="none"/>
        </w:rPr>
        <w:t>日完成交货</w:t>
      </w:r>
    </w:p>
    <w:p w14:paraId="5A446FF2">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五、运输</w:t>
      </w:r>
    </w:p>
    <w:p w14:paraId="75C191F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1、乙方负责所有货物的运输。确保货物安全、完整到达使用地点，运杂费用包含在总价内，包括货物从供货地点到使用地点的运输费、保险费、搬运费等。</w:t>
      </w:r>
    </w:p>
    <w:p w14:paraId="152070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2、所有货物在运输、搬运、安装的过程中，造成甲方损失的，由乙方为甲方修复或更新。</w:t>
      </w:r>
    </w:p>
    <w:p w14:paraId="77F50F48">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涉及的商品包装和快递包装，均应符合《商品包装政府采购需求标准（试行）》《快递包装政府采购需求标准（试行）》的要求，包装应适应于远距离运输、防潮、防震、防锈和防野蛮装卸，以确保货物安全无损运抵指定地点。</w:t>
      </w:r>
    </w:p>
    <w:p w14:paraId="45114D48">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六、质量保证</w:t>
      </w:r>
    </w:p>
    <w:p w14:paraId="1B51C3F7">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1、所供货物必须是经过办理正常手续的全新产品。</w:t>
      </w:r>
    </w:p>
    <w:p w14:paraId="302D5B98">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2、所供货物是经过国家法定检验、注册、准许市场销售的合法产品。</w:t>
      </w:r>
    </w:p>
    <w:p w14:paraId="3BF50F50">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3、货物性能稳定、具有较好的使用效果，质量保证措施完善，符合国家相关标准。</w:t>
      </w:r>
    </w:p>
    <w:p w14:paraId="38BA60C7">
      <w:pPr>
        <w:shd w:val="clear" w:color="auto" w:fill="auto"/>
        <w:spacing w:line="360" w:lineRule="auto"/>
        <w:ind w:firstLine="480"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b/>
          <w:color w:val="auto"/>
          <w:sz w:val="24"/>
          <w:szCs w:val="24"/>
          <w:highlight w:val="none"/>
          <w:lang w:eastAsia="zh-CN"/>
        </w:rPr>
        <w:t>项目整体</w:t>
      </w:r>
      <w:r>
        <w:rPr>
          <w:rFonts w:hint="eastAsia" w:ascii="仿宋" w:hAnsi="仿宋" w:eastAsia="仿宋" w:cs="仿宋"/>
          <w:b/>
          <w:color w:val="auto"/>
          <w:sz w:val="24"/>
          <w:szCs w:val="24"/>
          <w:highlight w:val="none"/>
        </w:rPr>
        <w:t>自验收合格之日起不少于</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年</w:t>
      </w:r>
      <w:r>
        <w:rPr>
          <w:rFonts w:hint="eastAsia" w:ascii="仿宋" w:hAnsi="仿宋" w:eastAsia="仿宋" w:cs="仿宋"/>
          <w:b/>
          <w:color w:val="auto"/>
          <w:sz w:val="24"/>
          <w:szCs w:val="24"/>
          <w:highlight w:val="none"/>
          <w:lang w:eastAsia="zh-CN"/>
        </w:rPr>
        <w:t>。</w:t>
      </w:r>
    </w:p>
    <w:p w14:paraId="43713C6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5、包装要求</w:t>
      </w:r>
    </w:p>
    <w:p w14:paraId="79A3D81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5-1、除合同另有规定外，乙方提供的全部货物，均应按标准保护措施进行包装，并确保货物安全无损运抵甲方指定地点。</w:t>
      </w:r>
    </w:p>
    <w:p w14:paraId="4D0783D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5-2、每一个包装箱内应附一份详细装箱单和质量合格证。</w:t>
      </w:r>
    </w:p>
    <w:p w14:paraId="4E70C2E2">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6、乙方应保证甲方在使用该货物或其任何一部分时免受第三方提出侵犯其专利权商标权或工业设计权的起诉。</w:t>
      </w:r>
    </w:p>
    <w:p w14:paraId="60296E28">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七、验收</w:t>
      </w:r>
    </w:p>
    <w:p w14:paraId="48C2C6F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货物到达</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方指定地点后，</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根据合同要求，进行外观验收，确认产地、规格、型号和数量。</w:t>
      </w:r>
      <w:r>
        <w:rPr>
          <w:rFonts w:hint="eastAsia" w:ascii="仿宋" w:hAnsi="仿宋" w:eastAsia="仿宋" w:cs="仿宋"/>
          <w:color w:val="auto"/>
          <w:sz w:val="24"/>
          <w:szCs w:val="24"/>
          <w:highlight w:val="none"/>
          <w:lang w:eastAsia="zh-CN"/>
        </w:rPr>
        <w:t>甲乙</w:t>
      </w:r>
      <w:r>
        <w:rPr>
          <w:rFonts w:hint="eastAsia" w:ascii="仿宋" w:hAnsi="仿宋" w:eastAsia="仿宋" w:cs="仿宋"/>
          <w:color w:val="auto"/>
          <w:sz w:val="24"/>
          <w:szCs w:val="24"/>
          <w:highlight w:val="none"/>
        </w:rPr>
        <w:t>双方须在约定的时间和地点共同开箱检验。</w:t>
      </w:r>
    </w:p>
    <w:p w14:paraId="4C085BF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设备安装、调试、自检正常，且可正常使用后，由</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书面通知</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w:t>
      </w:r>
    </w:p>
    <w:p w14:paraId="74FC1285">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核查</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提供的设备自检正常报告后，开始进行设备验收。设备验收合格后，填写设备验收单作为对货物的最终认可。</w:t>
      </w:r>
    </w:p>
    <w:p w14:paraId="0858CD38">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须向</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提交货物实施过程中的所有资料，以便甲方日后管理和维护。</w:t>
      </w:r>
    </w:p>
    <w:p w14:paraId="28D3AA49">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、验收依据：</w:t>
      </w:r>
    </w:p>
    <w:p w14:paraId="1AD55615">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1、本合同及附件文本；</w:t>
      </w:r>
    </w:p>
    <w:p w14:paraId="43693F5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2、国家相应的标准、规范；</w:t>
      </w:r>
    </w:p>
    <w:p w14:paraId="5FFC9859">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文件、澄清表（函）</w:t>
      </w:r>
      <w:r>
        <w:rPr>
          <w:rFonts w:hint="eastAsia" w:ascii="仿宋" w:hAnsi="仿宋" w:eastAsia="仿宋" w:cs="仿宋"/>
          <w:color w:val="auto"/>
          <w:sz w:val="24"/>
          <w:szCs w:val="24"/>
          <w:highlight w:val="none"/>
          <w:lang w:eastAsia="zh-CN"/>
        </w:rPr>
        <w:t>；</w:t>
      </w:r>
    </w:p>
    <w:p w14:paraId="4351AAF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4、易损配件、备件报价单</w:t>
      </w:r>
      <w:r>
        <w:rPr>
          <w:rFonts w:hint="eastAsia" w:ascii="仿宋" w:hAnsi="仿宋" w:eastAsia="仿宋" w:cs="仿宋"/>
          <w:color w:val="auto"/>
          <w:sz w:val="24"/>
          <w:szCs w:val="24"/>
          <w:highlight w:val="none"/>
          <w:lang w:eastAsia="zh-CN"/>
        </w:rPr>
        <w:t>；</w:t>
      </w:r>
    </w:p>
    <w:p w14:paraId="55E309C5">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提供原厂</w:t>
      </w:r>
      <w:r>
        <w:rPr>
          <w:rFonts w:hint="eastAsia" w:ascii="仿宋" w:hAnsi="仿宋" w:eastAsia="仿宋" w:cs="仿宋"/>
          <w:color w:val="auto"/>
          <w:sz w:val="24"/>
          <w:szCs w:val="24"/>
          <w:highlight w:val="none"/>
        </w:rPr>
        <w:t>免费</w:t>
      </w:r>
      <w:r>
        <w:rPr>
          <w:rFonts w:hint="eastAsia" w:ascii="仿宋" w:hAnsi="仿宋" w:eastAsia="仿宋" w:cs="仿宋"/>
          <w:color w:val="auto"/>
          <w:sz w:val="24"/>
          <w:szCs w:val="24"/>
          <w:highlight w:val="none"/>
          <w:lang w:val="en-US" w:eastAsia="zh-CN"/>
        </w:rPr>
        <w:t>质量保证维保</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(质保期限与合同一致）</w:t>
      </w:r>
      <w:r>
        <w:rPr>
          <w:rFonts w:hint="eastAsia" w:ascii="仿宋" w:hAnsi="仿宋" w:eastAsia="仿宋" w:cs="仿宋"/>
          <w:color w:val="auto"/>
          <w:sz w:val="24"/>
          <w:szCs w:val="24"/>
          <w:highlight w:val="none"/>
        </w:rPr>
        <w:t>。</w:t>
      </w:r>
    </w:p>
    <w:p w14:paraId="62A9843C">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rPr>
        <w:t>、技术支持</w:t>
      </w:r>
    </w:p>
    <w:p w14:paraId="083D046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应提供可承担维修职能的公司、全资分公司或办事处，并驻守多名维护技术人员，并提供地点、联系人（常驻工程师）及联系电话（服务热线），随时解答各种疑问。</w:t>
      </w:r>
    </w:p>
    <w:p w14:paraId="69903BA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2C9852A2">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3、质保期内每年至少四次免费上门维护，回访。</w:t>
      </w:r>
    </w:p>
    <w:p w14:paraId="4946FA9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4、对于存在质量问题或者短少的产品，</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应在接到</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的通知2个日历日内负责修复，调换、重新制作或补齐。</w:t>
      </w:r>
    </w:p>
    <w:p w14:paraId="5456D22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5、提供质保期内全年7×24小时的技术咨询服务。</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怠于或无法提供技术支持的，</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有权委托第三方处理，由此产生的费用和后果由</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负责，费用直接从应付款或质保金中扣除。</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指定的项目总协调人必须是</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公司管理层人员。因</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的人员变更原因所造成的任何项目质量、进度滞后的后果，由</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承担。</w:t>
      </w:r>
    </w:p>
    <w:p w14:paraId="1943992E">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rPr>
        <w:t>在项目实施过程中，质量保障人员、资源不足或者执行不力，给项目质量带来的风险超出</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认定的允许范围时，</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可终止本项目的合作并进行索赔。</w:t>
      </w:r>
    </w:p>
    <w:p w14:paraId="687861CB">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w:t>
      </w:r>
    </w:p>
    <w:p w14:paraId="41B9CD35">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按《政府采购法》、《民法典》中的相关条款执行。</w:t>
      </w:r>
    </w:p>
    <w:p w14:paraId="7222D16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未按合同要求提供货物或质量不能满足技术要求，</w:t>
      </w:r>
      <w:r>
        <w:rPr>
          <w:rFonts w:hint="eastAsia" w:ascii="仿宋" w:hAnsi="仿宋" w:eastAsia="仿宋" w:cs="仿宋"/>
          <w:color w:val="auto"/>
          <w:sz w:val="24"/>
          <w:szCs w:val="24"/>
          <w:highlight w:val="none"/>
          <w:lang w:val="en-US" w:eastAsia="zh-CN"/>
        </w:rPr>
        <w:t>乙</w:t>
      </w:r>
      <w:r>
        <w:rPr>
          <w:rFonts w:hint="eastAsia" w:ascii="仿宋" w:hAnsi="仿宋" w:eastAsia="仿宋" w:cs="仿宋"/>
          <w:color w:val="auto"/>
          <w:sz w:val="24"/>
          <w:szCs w:val="24"/>
          <w:highlight w:val="none"/>
        </w:rPr>
        <w:t>方必须无条件更换，提高技术，完善质量，否则，</w:t>
      </w:r>
      <w:r>
        <w:rPr>
          <w:rFonts w:hint="eastAsia" w:ascii="仿宋" w:hAnsi="仿宋" w:eastAsia="仿宋" w:cs="仿宋"/>
          <w:color w:val="auto"/>
          <w:sz w:val="24"/>
          <w:szCs w:val="24"/>
          <w:highlight w:val="none"/>
          <w:lang w:val="en-US" w:eastAsia="zh-CN"/>
        </w:rPr>
        <w:t>甲</w:t>
      </w:r>
      <w:r>
        <w:rPr>
          <w:rFonts w:hint="eastAsia" w:ascii="仿宋" w:hAnsi="仿宋" w:eastAsia="仿宋" w:cs="仿宋"/>
          <w:color w:val="auto"/>
          <w:sz w:val="24"/>
          <w:szCs w:val="24"/>
          <w:highlight w:val="none"/>
        </w:rPr>
        <w:t>方会同鉴证方有权终止合同，并对乙方的违约行为报监管机构进行相应的处罚。</w:t>
      </w:r>
    </w:p>
    <w:p w14:paraId="58517E61">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一般与合同款项的支付相关，注意不要超出《民法典》中对于违约的责任上限。</w:t>
      </w:r>
    </w:p>
    <w:p w14:paraId="624AD07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2、乙方履约延误</w:t>
      </w:r>
    </w:p>
    <w:p w14:paraId="5F882C2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2-1、如乙方事先未征得甲方同意并得到甲方的谅解而单方面延迟交货，将按违约终止合同。</w:t>
      </w:r>
    </w:p>
    <w:p w14:paraId="42CD768E">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4C29E4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3、违约终止合同：未按合同要求提供货物或质量不能满足技术要求，甲方会同监督机构有权终止合同，对乙方违约行为进行追究，同时按政府采购法的有关规定进行相应的处罚。</w:t>
      </w:r>
    </w:p>
    <w:p w14:paraId="33764C44">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十、合同组成</w:t>
      </w:r>
    </w:p>
    <w:p w14:paraId="22E3CF09">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37B56917">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w:t>
      </w:r>
    </w:p>
    <w:p w14:paraId="2F8C840E">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3、国家相关规范及标准</w:t>
      </w:r>
    </w:p>
    <w:p w14:paraId="5A847CB8">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w:t>
      </w:r>
    </w:p>
    <w:p w14:paraId="2A76540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w:t>
      </w:r>
    </w:p>
    <w:p w14:paraId="614B227A">
      <w:pPr>
        <w:shd w:val="clear" w:color="auto" w:fill="auto"/>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十一、合同生效及其它</w:t>
      </w:r>
    </w:p>
    <w:p w14:paraId="386A710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1、合同未尽事宜、由甲、乙双方协商，作为合同补充，与原合同具有同等法律效力。</w:t>
      </w:r>
    </w:p>
    <w:p w14:paraId="31AB738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本合同正本一式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份，甲方、乙方双方分别执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0CBF6DB6">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3、合同经甲乙双方盖章、签字后生效，合同签订地点为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72C8C0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4、生效时间：   年  月  日</w:t>
      </w:r>
    </w:p>
    <w:tbl>
      <w:tblPr>
        <w:tblStyle w:val="3"/>
        <w:tblW w:w="0" w:type="auto"/>
        <w:jc w:val="center"/>
        <w:tblLayout w:type="fixed"/>
        <w:tblCellMar>
          <w:top w:w="0" w:type="dxa"/>
          <w:left w:w="108" w:type="dxa"/>
          <w:bottom w:w="0" w:type="dxa"/>
          <w:right w:w="108" w:type="dxa"/>
        </w:tblCellMar>
      </w:tblPr>
      <w:tblGrid>
        <w:gridCol w:w="4497"/>
        <w:gridCol w:w="4496"/>
      </w:tblGrid>
      <w:tr w14:paraId="29A5C64B">
        <w:tblPrEx>
          <w:tblCellMar>
            <w:top w:w="0" w:type="dxa"/>
            <w:left w:w="108" w:type="dxa"/>
            <w:bottom w:w="0" w:type="dxa"/>
            <w:right w:w="108" w:type="dxa"/>
          </w:tblCellMar>
        </w:tblPrEx>
        <w:trPr>
          <w:jc w:val="center"/>
        </w:trPr>
        <w:tc>
          <w:tcPr>
            <w:tcW w:w="4497" w:type="dxa"/>
            <w:noWrap w:val="0"/>
            <w:vAlign w:val="top"/>
          </w:tcPr>
          <w:p w14:paraId="15BD0AF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甲方名称（盖章）:</w:t>
            </w:r>
          </w:p>
          <w:p w14:paraId="3AFC6DC5">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5099F268">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代表人（签字）：</w:t>
            </w:r>
          </w:p>
          <w:p w14:paraId="3A82F6F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4F6BD797">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396D547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帐号：</w:t>
            </w:r>
          </w:p>
        </w:tc>
        <w:tc>
          <w:tcPr>
            <w:tcW w:w="4496" w:type="dxa"/>
            <w:noWrap w:val="0"/>
            <w:vAlign w:val="top"/>
          </w:tcPr>
          <w:p w14:paraId="638FFA8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乙方名称（盖章）:</w:t>
            </w:r>
          </w:p>
          <w:p w14:paraId="5FD4FCC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02D776F2">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代表人（签字）：</w:t>
            </w:r>
          </w:p>
          <w:p w14:paraId="486CD343">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535485D9">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024C624A">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帐号：</w:t>
            </w:r>
          </w:p>
        </w:tc>
      </w:tr>
    </w:tbl>
    <w:p w14:paraId="185555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29BDD"/>
    <w:multiLevelType w:val="singleLevel"/>
    <w:tmpl w:val="81F29BD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FC2574"/>
    <w:rsid w:val="127C55C1"/>
    <w:rsid w:val="1E03494B"/>
    <w:rsid w:val="200054AB"/>
    <w:rsid w:val="28061D38"/>
    <w:rsid w:val="28FC2574"/>
    <w:rsid w:val="3BA05058"/>
    <w:rsid w:val="51A045FC"/>
    <w:rsid w:val="53E0449B"/>
    <w:rsid w:val="719A4CA2"/>
    <w:rsid w:val="719E3893"/>
    <w:rsid w:val="78EB486F"/>
    <w:rsid w:val="798A3A02"/>
    <w:rsid w:val="7BD77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2460</Words>
  <Characters>2493</Characters>
  <Lines>0</Lines>
  <Paragraphs>0</Paragraphs>
  <TotalTime>5</TotalTime>
  <ScaleCrop>false</ScaleCrop>
  <LinksUpToDate>false</LinksUpToDate>
  <CharactersWithSpaces>2671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2025-11-24T08:27:00Z</dcterms:created>
  <dc:creator>开国元勋</dc:creator>
  <cp:lastModifiedBy>开国元勋</cp:lastModifiedBy>
  <dcterms:modified xsi:type="dcterms:W3CDTF">2025-12-12T06:31:15Z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7B15A9F96BF7437E9DDF65A6411767FD_13</vt:lpwstr>
  </property>
  <property fmtid="{D5CDD505-2E9C-101B-9397-08002B2CF9AE}" pid="4" name="KSOTemplateDocerSaveRecord">
    <vt:lpwstr>eyJoZGlkIjoiZDFjMzM4ZTlkOGM1MWRjODcyYTFhYmU5YThkODc0NGQiLCJ1c2VySWQiOiI3MzY2NTI5MTcifQ==</vt:lpwstr>
  </property>
</Properties>
</file>