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版本号：HCZBCG-2025-14.1B220251217001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执法执勤车辆购置项目(三次)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HCZBCG-2025-14.1B2</w:t>
      </w:r>
      <w:r>
        <w:br/>
      </w:r>
      <w:r>
        <w:br/>
      </w:r>
      <w:r>
        <w:br/>
      </w:r>
    </w:p>
    <w:p>
      <w:pPr>
        <w:pStyle w:val="null3"/>
        <w:jc w:val="center"/>
        <w:outlineLvl w:val="2"/>
      </w:pPr>
      <w:r>
        <w:rPr>
          <w:rFonts w:ascii="仿宋_GB2312" w:hAnsi="仿宋_GB2312" w:cs="仿宋_GB2312" w:eastAsia="仿宋_GB2312"/>
          <w:sz w:val="28"/>
          <w:b/>
        </w:rPr>
        <w:t>西安市长安区交通运输综合执法大队</w:t>
      </w:r>
    </w:p>
    <w:p>
      <w:pPr>
        <w:pStyle w:val="null3"/>
        <w:jc w:val="center"/>
        <w:outlineLvl w:val="2"/>
      </w:pPr>
      <w:r>
        <w:rPr>
          <w:rFonts w:ascii="仿宋_GB2312" w:hAnsi="仿宋_GB2312" w:cs="仿宋_GB2312" w:eastAsia="仿宋_GB2312"/>
          <w:sz w:val="28"/>
          <w:b/>
        </w:rPr>
        <w:t>陕西汇诚建设项目管理有限公司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陕西汇诚建设项目管理有限公司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西安市长安区交通运输综合执法大队</w:t>
      </w:r>
      <w:r>
        <w:rPr>
          <w:rFonts w:ascii="仿宋_GB2312" w:hAnsi="仿宋_GB2312" w:cs="仿宋_GB2312" w:eastAsia="仿宋_GB2312"/>
        </w:rPr>
        <w:t>委托，拟对</w:t>
      </w:r>
      <w:r>
        <w:rPr>
          <w:rFonts w:ascii="仿宋_GB2312" w:hAnsi="仿宋_GB2312" w:cs="仿宋_GB2312" w:eastAsia="仿宋_GB2312"/>
        </w:rPr>
        <w:t>执法执勤车辆购置项目(三次)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HCZBCG-2025-14.1B2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执法执勤车辆购置项目(三次)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西安市长安区交通运输综合执法大队执法执勤车辆购置项目，包含14辆插电混动小轿车，1辆纯电动皮卡车，共计15辆。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供应商应授权合法的人员参加谈判全过程，其中法定代表人直接参加谈判的，须出具法定代表人身份证明、法人身份证原件及复印件；法定代表人授权代表参加谈判的，须出具法定代表人授权书、授权代表身份证原件及复印件；</w:t>
      </w:r>
    </w:p>
    <w:p>
      <w:pPr>
        <w:pStyle w:val="null3"/>
      </w:pPr>
      <w:r>
        <w:rPr>
          <w:rFonts w:ascii="仿宋_GB2312" w:hAnsi="仿宋_GB2312" w:cs="仿宋_GB2312" w:eastAsia="仿宋_GB2312"/>
        </w:rPr>
        <w:t>2、信誉记录：供应商不得为“信用中国”网站（www.cr editchina.gov.cn）中被列入“重大税收 违法失信主体 ”的供应商,不得为“中国执行信息公开网 ”网站（zxgk.court.gov.c n/））中被列入“失信被执行人 ”的供应 商；不得为中国政府采购网（www.ccgp.g ov.cn）政府采购“严重违法失信行为记录名单 ”中被财政部门禁止参加政府采购活动的供应商（信用记录在资格审查阶段通 过互联网或者相关系统查询，不强制要求供应商提供查询截图，以开标当日网上查询结果为评审依据）；</w:t>
      </w:r>
    </w:p>
    <w:p>
      <w:pPr>
        <w:pStyle w:val="null3"/>
      </w:pPr>
      <w:r>
        <w:rPr>
          <w:rFonts w:ascii="仿宋_GB2312" w:hAnsi="仿宋_GB2312" w:cs="仿宋_GB2312" w:eastAsia="仿宋_GB2312"/>
        </w:rPr>
        <w:t>3、非联合体投标：本项目不接受联合体谈判。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西安市长安区交通运输综合执法大队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长安区青年南街136号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西安市长安区交通运输综合执法大队经办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029-85283187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西安市雁塔区西沣路1159号万科汇智中心2303室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029-81104728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代理服务费收费标准：代理服务费以工程项目中标价为基准，根据国家计委关于印发《招标代理服务收费管理暂行办法的通知》（计价格[2002]1980号）计费标准收取。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西安市长安区交通运输综合执法大队</w:t>
      </w:r>
      <w:r>
        <w:rPr>
          <w:rFonts w:ascii="仿宋_GB2312" w:hAnsi="仿宋_GB2312" w:cs="仿宋_GB2312" w:eastAsia="仿宋_GB2312"/>
        </w:rPr>
        <w:t>和</w:t>
      </w:r>
      <w:r>
        <w:rPr>
          <w:rFonts w:ascii="仿宋_GB2312" w:hAnsi="仿宋_GB2312" w:cs="仿宋_GB2312" w:eastAsia="仿宋_GB2312"/>
        </w:rPr>
        <w:t>陕西汇诚建设项目管理有限公司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西安市长安区交通运输综合执法大队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陕西汇诚建设项目管理有限公司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西安市长安区交通运输综合执法大队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陕西汇诚建设项目管理有限公司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供应商所提供的产品性能及质量应符合现行国家、行业标准，达到合格产品的要求。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联系人：李妍</w:t>
      </w:r>
    </w:p>
    <w:p>
      <w:pPr>
        <w:pStyle w:val="null3"/>
      </w:pPr>
      <w:r>
        <w:rPr>
          <w:rFonts w:ascii="仿宋_GB2312" w:hAnsi="仿宋_GB2312" w:cs="仿宋_GB2312" w:eastAsia="仿宋_GB2312"/>
        </w:rPr>
        <w:t>联系电话：029-88104728</w:t>
      </w:r>
    </w:p>
    <w:p>
      <w:pPr>
        <w:pStyle w:val="null3"/>
      </w:pPr>
      <w:r>
        <w:rPr>
          <w:rFonts w:ascii="仿宋_GB2312" w:hAnsi="仿宋_GB2312" w:cs="仿宋_GB2312" w:eastAsia="仿宋_GB2312"/>
        </w:rPr>
        <w:t>地址：西安市雁塔区西沣路1159号万科汇智中心2303室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西安市长安区交通运输综合执法大队执法执勤车辆购置项目，包含14辆插电混动小轿车，1辆纯电动皮卡车，共计15辆。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一、采购内容：西安市长安区交通运输综合执法大队执法执勤车辆购置项目，包含14辆插电混动小轿车，1辆纯电动皮卡车，共计15辆。</w:t>
            </w:r>
          </w:p>
          <w:p>
            <w:pPr>
              <w:pStyle w:val="null3"/>
            </w:pPr>
            <w:r>
              <w:rPr>
                <w:rFonts w:ascii="仿宋_GB2312" w:hAnsi="仿宋_GB2312" w:cs="仿宋_GB2312" w:eastAsia="仿宋_GB2312"/>
                <w:sz w:val="21"/>
              </w:rPr>
              <w:t>二、采购需求：满足执法执勤使用需求。</w:t>
            </w:r>
          </w:p>
          <w:p>
            <w:pPr>
              <w:pStyle w:val="null3"/>
            </w:pPr>
            <w:r>
              <w:rPr>
                <w:rFonts w:ascii="仿宋_GB2312" w:hAnsi="仿宋_GB2312" w:cs="仿宋_GB2312" w:eastAsia="仿宋_GB2312"/>
                <w:sz w:val="21"/>
              </w:rPr>
              <w:t>三、质量要求：</w:t>
            </w:r>
            <w:r>
              <w:rPr>
                <w:rFonts w:ascii="仿宋_GB2312" w:hAnsi="仿宋_GB2312" w:cs="仿宋_GB2312" w:eastAsia="仿宋_GB2312"/>
                <w:sz w:val="21"/>
              </w:rPr>
              <w:t>供应商所提供的产品性能及质量应符合现行国家、行业标准，达到合格产品的要求。</w:t>
            </w:r>
          </w:p>
          <w:p>
            <w:pPr>
              <w:pStyle w:val="null3"/>
            </w:pPr>
            <w:r>
              <w:rPr>
                <w:rFonts w:ascii="仿宋_GB2312" w:hAnsi="仿宋_GB2312" w:cs="仿宋_GB2312" w:eastAsia="仿宋_GB2312"/>
                <w:sz w:val="21"/>
                <w:color w:val="000000"/>
              </w:rPr>
              <w:t>四、本项目核心产品：</w:t>
            </w:r>
            <w:r>
              <w:rPr>
                <w:rFonts w:ascii="仿宋_GB2312" w:hAnsi="仿宋_GB2312" w:cs="仿宋_GB2312" w:eastAsia="仿宋_GB2312"/>
                <w:sz w:val="21"/>
              </w:rPr>
              <w:t>插电混动小轿车</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rPr>
              <w:t>五、技术要求：</w:t>
            </w:r>
          </w:p>
          <w:p>
            <w:pPr>
              <w:pStyle w:val="null3"/>
            </w:pPr>
            <w:r>
              <w:rPr>
                <w:rFonts w:ascii="仿宋_GB2312" w:hAnsi="仿宋_GB2312" w:cs="仿宋_GB2312" w:eastAsia="仿宋_GB2312"/>
                <w:sz w:val="21"/>
                <w:b/>
              </w:rPr>
              <w:t>14辆插电混动小轿车</w:t>
            </w:r>
          </w:p>
          <w:tbl>
            <w:tblPr>
              <w:tblBorders>
                <w:top w:val="none" w:color="000000" w:sz="4"/>
                <w:left w:val="none" w:color="000000" w:sz="4"/>
                <w:bottom w:val="none" w:color="000000" w:sz="4"/>
                <w:right w:val="none" w:color="000000" w:sz="4"/>
                <w:insideH w:val="none"/>
                <w:insideV w:val="none"/>
              </w:tblBorders>
            </w:tblPr>
            <w:tblGrid>
              <w:gridCol w:w="347"/>
              <w:gridCol w:w="1259"/>
              <w:gridCol w:w="94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技术参数及配置</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基本要求</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车型</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轿车</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国产自主品牌</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排量</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≥1.5L</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≥1.5</w:t>
                  </w:r>
                  <w:r>
                    <w:rPr>
                      <w:rFonts w:ascii="仿宋_GB2312" w:hAnsi="仿宋_GB2312" w:cs="仿宋_GB2312" w:eastAsia="仿宋_GB2312"/>
                      <w:sz w:val="21"/>
                      <w:color w:val="000000"/>
                    </w:rPr>
                    <w:t>T</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能源类型</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插电式混合动力</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排放标准</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国六</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驱动形式</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前置前驱</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最大扭矩</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≥125N*m</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变速箱</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自动挡</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整车质保</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6年或15万公里</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纯电续航公里</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120公里</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整车外形、配置要求</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★车身总长</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≥4800mm</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车身总宽</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≥1880mm</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车身总高</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≥1490mm</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轴距</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≥2750mm</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遥控钥匙</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无钥匙启动</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转向系统</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电动助力</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前大灯</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空调</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车身稳定系统</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多功能方向盘</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倒车影像及后驻车雷达</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主/副驾驶安全气囊</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电动车窗</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前、后</w:t>
                  </w:r>
                </w:p>
              </w:tc>
            </w:tr>
          </w:tbl>
          <w:p>
            <w:pPr>
              <w:pStyle w:val="null3"/>
              <w:jc w:val="both"/>
            </w:pPr>
            <w:r>
              <w:rPr>
                <w:rFonts w:ascii="仿宋_GB2312" w:hAnsi="仿宋_GB2312" w:cs="仿宋_GB2312" w:eastAsia="仿宋_GB2312"/>
                <w:sz w:val="21"/>
                <w:b/>
              </w:rPr>
              <w:t>1辆纯电动皮卡车</w:t>
            </w:r>
          </w:p>
          <w:tbl>
            <w:tblPr>
              <w:tblBorders>
                <w:top w:val="none" w:color="000000" w:sz="4"/>
                <w:left w:val="none" w:color="000000" w:sz="4"/>
                <w:bottom w:val="none" w:color="000000" w:sz="4"/>
                <w:right w:val="none" w:color="000000" w:sz="4"/>
                <w:insideH w:val="none"/>
                <w:insideV w:val="none"/>
              </w:tblBorders>
            </w:tblPr>
            <w:tblGrid>
              <w:gridCol w:w="427"/>
              <w:gridCol w:w="935"/>
              <w:gridCol w:w="1190"/>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技术参数及配置</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基本要求</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车型</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皮卡车</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国产自主品牌</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能源类型</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纯电动</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★电机峰值</w:t>
                  </w:r>
                  <w:r>
                    <w:rPr>
                      <w:rFonts w:ascii="仿宋_GB2312" w:hAnsi="仿宋_GB2312" w:cs="仿宋_GB2312" w:eastAsia="仿宋_GB2312"/>
                      <w:sz w:val="21"/>
                      <w:color w:val="000000"/>
                    </w:rPr>
                    <w:t>功率</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≥150KW</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变速箱</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自动挡</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三电系统质保期限</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≥8年或20万公里</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纯电续航公里</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360公里</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整车外形、配置要求</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车身总长</w:t>
                  </w:r>
                </w:p>
              </w:tc>
              <w:tc>
                <w:tcPr>
                  <w:tcW w:type="dxa" w:w="1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≥5300mm</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车身总宽</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≥1880mm</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车身总高</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≥1850mm</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货箱尺寸</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1700x140Ox50Omm（±100mm）</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轴距</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≥3050mm</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遥控钥匙</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前大灯</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卤素灯</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空调</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多功能方向盘</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倒车影像及后驻车雷达</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电动车窗</w:t>
                  </w:r>
                </w:p>
              </w:tc>
              <w:tc>
                <w:tcPr>
                  <w:tcW w:type="dxa" w:w="1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前、后</w:t>
                  </w:r>
                </w:p>
              </w:tc>
            </w:tr>
          </w:tbl>
          <w:p>
            <w:pPr>
              <w:pStyle w:val="null3"/>
              <w:jc w:val="both"/>
            </w:pPr>
            <w:r>
              <w:rPr>
                <w:rFonts w:ascii="仿宋_GB2312" w:hAnsi="仿宋_GB2312" w:cs="仿宋_GB2312" w:eastAsia="仿宋_GB2312"/>
                <w:sz w:val="21"/>
              </w:rPr>
              <w:t>备注：★项为实质性参数，不允许负偏离，否则按无效谈判响应文件处理。</w:t>
            </w:r>
          </w:p>
          <w:p>
            <w:pPr>
              <w:pStyle w:val="null3"/>
            </w:pPr>
            <w:r>
              <w:rPr>
                <w:rFonts w:ascii="仿宋_GB2312" w:hAnsi="仿宋_GB2312" w:cs="仿宋_GB2312" w:eastAsia="仿宋_GB2312"/>
                <w:sz w:val="21"/>
              </w:rPr>
              <w:t>五、服务要求：</w:t>
            </w:r>
          </w:p>
          <w:p>
            <w:pPr>
              <w:pStyle w:val="null3"/>
            </w:pPr>
            <w:r>
              <w:rPr>
                <w:rFonts w:ascii="仿宋_GB2312" w:hAnsi="仿宋_GB2312" w:cs="仿宋_GB2312" w:eastAsia="仿宋_GB2312"/>
                <w:sz w:val="21"/>
              </w:rPr>
              <w:t xml:space="preserve">  1、供应商须提供全新的、未使用过的合格正品货物（含零部件、配件等）， 完全符合合同规定的质量、规格和性能的要求，车辆外观、颜色须按采购方要求喷涂。</w:t>
            </w:r>
          </w:p>
          <w:p>
            <w:pPr>
              <w:pStyle w:val="null3"/>
            </w:pPr>
            <w:r>
              <w:rPr>
                <w:rFonts w:ascii="仿宋_GB2312" w:hAnsi="仿宋_GB2312" w:cs="仿宋_GB2312" w:eastAsia="仿宋_GB2312"/>
                <w:sz w:val="21"/>
              </w:rPr>
              <w:t xml:space="preserve">  2、质量标准按照最新颁布的国家标准、行业标准或制造商企业标准确定，上述标准不一致的，以严格标准为准。</w:t>
            </w:r>
          </w:p>
          <w:p>
            <w:pPr>
              <w:pStyle w:val="null3"/>
            </w:pPr>
            <w:r>
              <w:rPr>
                <w:rFonts w:ascii="仿宋_GB2312" w:hAnsi="仿宋_GB2312" w:cs="仿宋_GB2312" w:eastAsia="仿宋_GB2312"/>
                <w:sz w:val="21"/>
              </w:rPr>
              <w:t xml:space="preserve">  3、供应商所提供货物还应符合国家和陕西省有关安全、环保、节能之规定，“3C”认证的货物（产品）应加贴“3C”认证标志。</w:t>
            </w:r>
          </w:p>
          <w:p>
            <w:pPr>
              <w:pStyle w:val="null3"/>
            </w:pPr>
            <w:r>
              <w:rPr>
                <w:rFonts w:ascii="仿宋_GB2312" w:hAnsi="仿宋_GB2312" w:cs="仿宋_GB2312" w:eastAsia="仿宋_GB2312"/>
                <w:sz w:val="21"/>
              </w:rPr>
              <w:t xml:space="preserve">  4、货物制造质量出现问题，供应商应负责三包（包修、包换、包退），费用由供应商负担，采购人有权到供应商生产场地检查货物质量和生产进度。</w:t>
            </w:r>
          </w:p>
          <w:p>
            <w:pPr>
              <w:pStyle w:val="null3"/>
            </w:pPr>
            <w:r>
              <w:rPr>
                <w:rFonts w:ascii="仿宋_GB2312" w:hAnsi="仿宋_GB2312" w:cs="仿宋_GB2312" w:eastAsia="仿宋_GB2312"/>
                <w:sz w:val="21"/>
              </w:rPr>
              <w:t xml:space="preserve">  5、供应商承诺超过谈判文件要求的，按其承诺的质保期进行质保。</w:t>
            </w:r>
          </w:p>
          <w:p>
            <w:pPr>
              <w:pStyle w:val="null3"/>
            </w:pPr>
            <w:r>
              <w:rPr>
                <w:rFonts w:ascii="仿宋_GB2312" w:hAnsi="仿宋_GB2312" w:cs="仿宋_GB2312" w:eastAsia="仿宋_GB2312"/>
                <w:sz w:val="21"/>
              </w:rPr>
              <w:t>六、商务要求</w:t>
            </w:r>
          </w:p>
          <w:p>
            <w:pPr>
              <w:pStyle w:val="null3"/>
            </w:pPr>
            <w:r>
              <w:rPr>
                <w:rFonts w:ascii="仿宋_GB2312" w:hAnsi="仿宋_GB2312" w:cs="仿宋_GB2312" w:eastAsia="仿宋_GB2312"/>
                <w:sz w:val="21"/>
              </w:rPr>
              <w:t xml:space="preserve"> 1、交货期：自合同签订后接采购人通知之日起40日历天内。</w:t>
            </w:r>
          </w:p>
          <w:p>
            <w:pPr>
              <w:pStyle w:val="null3"/>
            </w:pPr>
            <w:r>
              <w:rPr>
                <w:rFonts w:ascii="仿宋_GB2312" w:hAnsi="仿宋_GB2312" w:cs="仿宋_GB2312" w:eastAsia="仿宋_GB2312"/>
                <w:sz w:val="21"/>
              </w:rPr>
              <w:t xml:space="preserve"> 2、交货地点：采购人指定地点。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自合同签订后接采购人通知之日起40日历天内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供应商所提供的产品性能及质量应符合现行国家、行业标准，达到合格产品的要求。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供应商质保期承诺超过谈判文件要求的，按其承诺的质保期进行质保。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2、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或提供专业担保机构出具的谈判担保函，以上形式的证明资料提供任何一种即可；3、税收缴纳证明：提供谈判截止日前一年内已缴纳的至少一个月的纳税证明或完税证明，依法免税的单位应提供相关证明材料；4、社会保障资金缴纳证明：提供谈判截止日前一年内已缴存的至少一个月的社会保障资金缴存单据或社保机构开具的社会保险参保缴费情况证明，依法不需要缴纳社会保障资金的单位应提供相关证明材料；5、提供参加政府采购活动前三年内在经营活动中没有重大违法记录的书面声明；6、提供具有履行本合同所必需的设备和专业技术能力的承诺。</w:t>
            </w:r>
          </w:p>
        </w:tc>
        <w:tc>
          <w:tcPr>
            <w:tcW w:type="dxa" w:w="1661"/>
          </w:tcPr>
          <w:p>
            <w:pPr>
              <w:pStyle w:val="null3"/>
            </w:pPr>
            <w:r>
              <w:rPr>
                <w:rFonts w:ascii="仿宋_GB2312" w:hAnsi="仿宋_GB2312" w:cs="仿宋_GB2312" w:eastAsia="仿宋_GB2312"/>
              </w:rPr>
              <w:t>响应文件封面 供应商应提交的相关资格证明材料.docx 供应商认为需要提供的其他资料.docx 中小企业声明函 残疾人福利性单位声明函 商务应答表.docx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定代表人身份证明、法人身份证原件及复印件；法定代表人授权代表参加谈判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供应商不得为“信用中国”网站（www.cr editchina.gov.cn）中被列入“重大税收 违法失信主体 ”的供应商,不得为“中国执行信息公开网 ”网站（zxgk.court.gov.c n/））中被列入“失信被执行人 ”的供应 商；不得为中国政府采购网（www.ccgp.g ov.cn）政府采购“严重违法失信行为记录名单 ”中被财政部门禁止参加政府采购活动的供应商（信用记录在资格审查阶段通 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商务应答表.docx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关键内容符合谈判文件要求，不得漏盖漏签</w:t>
            </w:r>
          </w:p>
        </w:tc>
        <w:tc>
          <w:tcPr>
            <w:tcW w:type="dxa" w:w="1661"/>
          </w:tcPr>
          <w:p>
            <w:pPr>
              <w:pStyle w:val="null3"/>
            </w:pPr>
            <w:r>
              <w:rPr>
                <w:rFonts w:ascii="仿宋_GB2312" w:hAnsi="仿宋_GB2312" w:cs="仿宋_GB2312" w:eastAsia="仿宋_GB2312"/>
              </w:rPr>
              <w:t>响应文件封面 供应商应提交的相关资格证明材料.docx 供应商认为需要提供的其他资料.docx 中小企业声明函 残疾人福利性单位声明函 标的清单 商务应答表.docx 报价表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对谈判文件的响应程度</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供应商认为需要提供的其他资料.docx 标的清单 商务应答表.docx 报价表 产品技术参数表.docx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供应商应提交的相关资格证明材料.docx 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满足谈判文件中的要求</w:t>
            </w:r>
          </w:p>
        </w:tc>
        <w:tc>
          <w:tcPr>
            <w:tcW w:type="dxa" w:w="1661"/>
          </w:tcPr>
          <w:p>
            <w:pPr>
              <w:pStyle w:val="null3"/>
            </w:pPr>
            <w:r>
              <w:rPr>
                <w:rFonts w:ascii="仿宋_GB2312" w:hAnsi="仿宋_GB2312" w:cs="仿宋_GB2312" w:eastAsia="仿宋_GB2312"/>
              </w:rPr>
              <w:t>供应商应提交的相关资格证明材料.docx 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商务应答表.docx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供应商应提交的相关资格证明材料.docx 中小企业声明函 残疾人福利性单位声明函 商务应答表.docx 报价表 响应函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