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4497BE">
      <w:pPr>
        <w:shd w:val="clear"/>
        <w:spacing w:before="90" w:line="226" w:lineRule="auto"/>
        <w:jc w:val="center"/>
        <w:outlineLvl w:val="0"/>
        <w:rPr>
          <w:rFonts w:ascii="仿宋" w:hAnsi="仿宋" w:eastAsia="仿宋" w:cs="仿宋"/>
          <w:b/>
          <w:bCs/>
          <w:color w:val="auto"/>
          <w:spacing w:val="3"/>
          <w:sz w:val="32"/>
          <w:szCs w:val="32"/>
          <w:lang w:eastAsia="zh-CN"/>
        </w:rPr>
      </w:pPr>
      <w:r>
        <w:rPr>
          <w:rFonts w:ascii="仿宋" w:hAnsi="仿宋" w:eastAsia="仿宋" w:cs="仿宋"/>
          <w:b/>
          <w:bCs/>
          <w:color w:val="auto"/>
          <w:spacing w:val="3"/>
          <w:sz w:val="32"/>
          <w:szCs w:val="32"/>
          <w:lang w:eastAsia="zh-CN"/>
        </w:rPr>
        <w:t>拟签订的合同条款文本</w:t>
      </w:r>
    </w:p>
    <w:p w14:paraId="05E26AF3">
      <w:pPr>
        <w:pStyle w:val="13"/>
        <w:spacing w:before="240" w:beforeLines="100"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 xml:space="preserve">合同编号： </w:t>
      </w:r>
    </w:p>
    <w:p w14:paraId="5D043F41">
      <w:pPr>
        <w:pStyle w:val="13"/>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 xml:space="preserve">签订地点： </w:t>
      </w:r>
    </w:p>
    <w:p w14:paraId="6A8CAA59">
      <w:pPr>
        <w:pStyle w:val="13"/>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签订时间:</w:t>
      </w:r>
    </w:p>
    <w:p w14:paraId="25593AF2">
      <w:pPr>
        <w:pStyle w:val="13"/>
        <w:spacing w:line="360" w:lineRule="auto"/>
        <w:ind w:firstLine="386" w:firstLineChars="183"/>
        <w:rPr>
          <w:rFonts w:hint="eastAsia" w:ascii="宋体" w:hAnsi="宋体"/>
          <w:b/>
          <w:bCs/>
          <w:color w:val="auto"/>
          <w:sz w:val="21"/>
          <w:szCs w:val="21"/>
          <w:highlight w:val="none"/>
        </w:rPr>
      </w:pPr>
      <w:r>
        <w:rPr>
          <w:rFonts w:hint="eastAsia" w:ascii="宋体" w:hAnsi="宋体"/>
          <w:b/>
          <w:bCs/>
          <w:color w:val="auto"/>
          <w:sz w:val="21"/>
          <w:szCs w:val="21"/>
          <w:highlight w:val="none"/>
        </w:rPr>
        <w:t xml:space="preserve">是否为专门面向中小企业的采购项目： </w:t>
      </w:r>
      <w:r>
        <w:rPr>
          <w:rFonts w:ascii="宋体" w:hAnsi="宋体"/>
          <w:b/>
          <w:bCs/>
          <w:color w:val="auto"/>
          <w:sz w:val="21"/>
          <w:szCs w:val="21"/>
          <w:highlight w:val="none"/>
        </w:rPr>
        <w:t>否</w:t>
      </w:r>
    </w:p>
    <w:p w14:paraId="46D208EB">
      <w:pPr>
        <w:pStyle w:val="13"/>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采购人（甲方）：</w:t>
      </w:r>
    </w:p>
    <w:p w14:paraId="55535973">
      <w:pPr>
        <w:pStyle w:val="13"/>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（乙方）：</w:t>
      </w:r>
    </w:p>
    <w:p w14:paraId="0D8B8FE8">
      <w:pPr>
        <w:pStyle w:val="13"/>
        <w:spacing w:before="120" w:beforeLines="50"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根据《中华人民共和国政府采购法》及实施条例、《中华人民共和国民法典》和甲方</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采购项目（采购项目编号：</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）的</w:t>
      </w:r>
      <w:r>
        <w:rPr>
          <w:rFonts w:hint="eastAsia" w:ascii="宋体" w:hAnsi="宋体"/>
          <w:color w:val="auto"/>
          <w:sz w:val="21"/>
          <w:szCs w:val="21"/>
          <w:highlight w:val="none"/>
          <w:lang w:val="en-US" w:eastAsia="zh-CN"/>
        </w:rPr>
        <w:t>谈判</w:t>
      </w:r>
      <w:r>
        <w:rPr>
          <w:rFonts w:hint="eastAsia" w:ascii="宋体" w:hAnsi="宋体"/>
          <w:color w:val="auto"/>
          <w:sz w:val="21"/>
          <w:szCs w:val="21"/>
          <w:highlight w:val="none"/>
        </w:rPr>
        <w:t>文件、</w:t>
      </w:r>
      <w:r>
        <w:rPr>
          <w:rFonts w:hint="eastAsia" w:ascii="宋体" w:hAnsi="宋体"/>
          <w:color w:val="auto"/>
          <w:sz w:val="21"/>
          <w:szCs w:val="21"/>
          <w:highlight w:val="none"/>
          <w:lang w:val="en-US" w:eastAsia="zh-CN"/>
        </w:rPr>
        <w:t>响应</w:t>
      </w:r>
      <w:r>
        <w:rPr>
          <w:rFonts w:hint="eastAsia" w:ascii="宋体" w:hAnsi="宋体"/>
          <w:color w:val="auto"/>
          <w:sz w:val="21"/>
          <w:szCs w:val="21"/>
          <w:highlight w:val="none"/>
        </w:rPr>
        <w:t>文件等有关规定，为确保甲方采购项目的顺利实施，甲、乙双方在平等自愿原则下签订本合同，并共同遵守如下条款：</w:t>
      </w:r>
    </w:p>
    <w:p w14:paraId="6EAEBF99">
      <w:pPr>
        <w:spacing w:line="580" w:lineRule="exact"/>
        <w:ind w:firstLine="301" w:firstLineChars="100"/>
        <w:rPr>
          <w:rFonts w:hint="eastAsia" w:hAnsi="宋体" w:cs="宋体"/>
          <w:b/>
        </w:rPr>
      </w:pPr>
      <w:bookmarkStart w:id="0" w:name="_Toc21162"/>
      <w:bookmarkStart w:id="1" w:name="_Toc25616"/>
      <w:r>
        <w:rPr>
          <w:rFonts w:hint="eastAsia" w:ascii="宋体" w:hAnsi="宋体"/>
          <w:b/>
          <w:color w:val="auto"/>
          <w:sz w:val="30"/>
          <w:szCs w:val="30"/>
          <w:highlight w:val="none"/>
        </w:rPr>
        <w:t>第一条 项目概况</w:t>
      </w:r>
    </w:p>
    <w:p w14:paraId="6DCA8FD5">
      <w:pPr>
        <w:adjustRightInd w:val="0"/>
        <w:snapToGrid w:val="0"/>
        <w:spacing w:line="580" w:lineRule="exact"/>
        <w:ind w:firstLine="415" w:firstLineChars="198"/>
        <w:rPr>
          <w:rFonts w:hint="eastAsia" w:hAnsi="宋体" w:cs="宋体"/>
        </w:rPr>
      </w:pPr>
      <w:r>
        <w:rPr>
          <w:rFonts w:hint="eastAsia" w:hAnsi="宋体" w:cs="宋体"/>
        </w:rPr>
        <w:t>1. 项目名称：</w:t>
      </w:r>
      <w:r>
        <w:rPr>
          <w:rFonts w:hint="eastAsia" w:hAnsi="宋体" w:cs="宋体"/>
          <w:u w:val="single"/>
        </w:rPr>
        <w:t xml:space="preserve">                                        </w:t>
      </w:r>
      <w:r>
        <w:rPr>
          <w:rFonts w:hint="eastAsia" w:hAnsi="宋体" w:cs="宋体"/>
        </w:rPr>
        <w:t>；</w:t>
      </w:r>
    </w:p>
    <w:p w14:paraId="273C75D1">
      <w:pPr>
        <w:adjustRightInd w:val="0"/>
        <w:snapToGrid w:val="0"/>
        <w:spacing w:line="580" w:lineRule="exact"/>
        <w:ind w:firstLine="415" w:firstLineChars="198"/>
        <w:rPr>
          <w:rFonts w:hint="eastAsia" w:hAnsi="宋体" w:cs="宋体"/>
        </w:rPr>
      </w:pPr>
      <w:r>
        <w:rPr>
          <w:rFonts w:hint="eastAsia" w:hAnsi="宋体" w:cs="宋体"/>
        </w:rPr>
        <w:t>2. 项目地点：</w:t>
      </w:r>
      <w:r>
        <w:rPr>
          <w:rFonts w:hint="eastAsia" w:hAnsi="宋体" w:cs="宋体"/>
          <w:u w:val="single"/>
        </w:rPr>
        <w:t xml:space="preserve">                                        </w:t>
      </w:r>
      <w:r>
        <w:rPr>
          <w:rFonts w:hint="eastAsia" w:hAnsi="宋体" w:cs="宋体"/>
        </w:rPr>
        <w:t>；</w:t>
      </w:r>
    </w:p>
    <w:p w14:paraId="6877A784">
      <w:pPr>
        <w:spacing w:line="580" w:lineRule="exact"/>
        <w:ind w:firstLine="301" w:firstLineChars="100"/>
        <w:rPr>
          <w:rFonts w:hint="eastAsia" w:ascii="宋体" w:hAnsi="宋体"/>
          <w:b/>
          <w:color w:val="auto"/>
          <w:sz w:val="30"/>
          <w:szCs w:val="30"/>
          <w:highlight w:val="none"/>
        </w:rPr>
      </w:pPr>
      <w:r>
        <w:rPr>
          <w:rFonts w:hint="eastAsia" w:ascii="宋体" w:hAnsi="宋体"/>
          <w:b/>
          <w:color w:val="auto"/>
          <w:sz w:val="30"/>
          <w:szCs w:val="30"/>
          <w:highlight w:val="none"/>
          <w:lang w:val="en-US" w:eastAsia="zh-CN"/>
        </w:rPr>
        <w:t xml:space="preserve">第二条  </w:t>
      </w:r>
      <w:r>
        <w:rPr>
          <w:rFonts w:hint="eastAsia" w:ascii="宋体" w:hAnsi="宋体"/>
          <w:b/>
          <w:color w:val="auto"/>
          <w:sz w:val="30"/>
          <w:szCs w:val="30"/>
          <w:highlight w:val="none"/>
        </w:rPr>
        <w:t>组成本合同的文件</w:t>
      </w:r>
    </w:p>
    <w:p w14:paraId="17124740">
      <w:pPr>
        <w:adjustRightInd w:val="0"/>
        <w:snapToGrid w:val="0"/>
        <w:spacing w:line="580" w:lineRule="exact"/>
        <w:ind w:firstLine="415" w:firstLineChars="198"/>
        <w:rPr>
          <w:rFonts w:hint="eastAsia" w:hAnsi="宋体" w:cs="宋体"/>
        </w:rPr>
      </w:pPr>
      <w:r>
        <w:rPr>
          <w:rFonts w:hint="eastAsia" w:hAnsi="宋体" w:cs="宋体"/>
        </w:rPr>
        <w:t>1. 协议书；</w:t>
      </w:r>
    </w:p>
    <w:p w14:paraId="5D0F11C7">
      <w:pPr>
        <w:adjustRightInd w:val="0"/>
        <w:snapToGrid w:val="0"/>
        <w:spacing w:line="580" w:lineRule="exact"/>
        <w:ind w:firstLine="415" w:firstLineChars="198"/>
        <w:rPr>
          <w:rFonts w:hint="eastAsia" w:hAnsi="宋体" w:cs="宋体"/>
        </w:rPr>
      </w:pPr>
      <w:r>
        <w:rPr>
          <w:rFonts w:hint="eastAsia" w:hAnsi="宋体" w:cs="宋体"/>
        </w:rPr>
        <w:t xml:space="preserve">2. </w:t>
      </w:r>
      <w:r>
        <w:rPr>
          <w:rFonts w:hint="eastAsia" w:hAnsi="宋体" w:cs="宋体"/>
          <w:lang w:val="en-US" w:eastAsia="zh-CN"/>
        </w:rPr>
        <w:t>成交</w:t>
      </w:r>
      <w:r>
        <w:rPr>
          <w:rFonts w:hint="eastAsia" w:hAnsi="宋体" w:cs="宋体"/>
        </w:rPr>
        <w:t>通知书、</w:t>
      </w:r>
      <w:r>
        <w:rPr>
          <w:rFonts w:hint="eastAsia" w:hAnsi="宋体" w:cs="宋体"/>
          <w:lang w:val="en-US" w:eastAsia="zh-CN"/>
        </w:rPr>
        <w:t>谈判响应</w:t>
      </w:r>
      <w:r>
        <w:rPr>
          <w:rFonts w:hint="eastAsia" w:hAnsi="宋体" w:cs="宋体"/>
        </w:rPr>
        <w:t>文件、</w:t>
      </w:r>
      <w:r>
        <w:rPr>
          <w:rFonts w:hint="eastAsia" w:hAnsi="宋体" w:cs="宋体"/>
          <w:lang w:val="en-US" w:eastAsia="zh-CN"/>
        </w:rPr>
        <w:t>竞争性谈判</w:t>
      </w:r>
      <w:r>
        <w:rPr>
          <w:rFonts w:hint="eastAsia" w:hAnsi="宋体" w:cs="宋体"/>
        </w:rPr>
        <w:t>文件、澄清、</w:t>
      </w:r>
      <w:r>
        <w:rPr>
          <w:rFonts w:hint="eastAsia" w:hAnsi="宋体" w:cs="宋体"/>
          <w:lang w:val="en-US" w:eastAsia="zh-CN"/>
        </w:rPr>
        <w:t>谈判</w:t>
      </w:r>
      <w:r>
        <w:rPr>
          <w:rFonts w:hint="eastAsia" w:hAnsi="宋体" w:cs="宋体"/>
        </w:rPr>
        <w:t>补充文件；</w:t>
      </w:r>
    </w:p>
    <w:p w14:paraId="12DE4228">
      <w:pPr>
        <w:adjustRightInd w:val="0"/>
        <w:snapToGrid w:val="0"/>
        <w:spacing w:line="580" w:lineRule="exact"/>
        <w:ind w:firstLine="420" w:firstLineChars="200"/>
        <w:rPr>
          <w:rFonts w:hint="eastAsia" w:hAnsi="宋体" w:cs="宋体"/>
        </w:rPr>
      </w:pPr>
      <w:r>
        <w:rPr>
          <w:rFonts w:hint="eastAsia" w:hAnsi="宋体" w:cs="宋体"/>
        </w:rPr>
        <w:t>3. 相关服务建议书；</w:t>
      </w:r>
    </w:p>
    <w:p w14:paraId="1EAB7609">
      <w:pPr>
        <w:adjustRightInd w:val="0"/>
        <w:snapToGrid w:val="0"/>
        <w:spacing w:line="580" w:lineRule="exact"/>
        <w:rPr>
          <w:rFonts w:hint="eastAsia" w:hAnsi="宋体" w:cs="宋体"/>
        </w:rPr>
      </w:pPr>
      <w:r>
        <w:rPr>
          <w:rFonts w:hint="eastAsia" w:hAnsi="宋体" w:cs="宋体"/>
        </w:rPr>
        <w:t xml:space="preserve">    4. 附录，即：附表内相关服务的范围和内容；</w:t>
      </w:r>
    </w:p>
    <w:p w14:paraId="22007B4F">
      <w:pPr>
        <w:adjustRightInd w:val="0"/>
        <w:snapToGrid w:val="0"/>
        <w:spacing w:line="580" w:lineRule="exact"/>
        <w:ind w:firstLine="415" w:firstLineChars="198"/>
        <w:rPr>
          <w:rFonts w:hint="eastAsia" w:hAnsi="宋体" w:cs="宋体"/>
        </w:rPr>
      </w:pPr>
      <w:r>
        <w:rPr>
          <w:rFonts w:hint="eastAsia" w:hAnsi="宋体" w:cs="宋体"/>
        </w:rPr>
        <w:t>本合同签订后，双方依法签订的补充协议也是本合同文件的组成部分。</w:t>
      </w:r>
    </w:p>
    <w:bookmarkEnd w:id="0"/>
    <w:bookmarkEnd w:id="1"/>
    <w:p w14:paraId="3E56A06A">
      <w:pPr>
        <w:spacing w:line="580" w:lineRule="exact"/>
        <w:ind w:firstLine="301" w:firstLineChars="100"/>
        <w:rPr>
          <w:rFonts w:hint="eastAsia" w:ascii="宋体" w:hAnsi="宋体"/>
          <w:b/>
          <w:color w:val="auto"/>
          <w:sz w:val="30"/>
          <w:szCs w:val="30"/>
          <w:highlight w:val="none"/>
        </w:rPr>
      </w:pPr>
      <w:bookmarkStart w:id="2" w:name="_Toc19963"/>
      <w:bookmarkStart w:id="3" w:name="_Toc7071"/>
      <w:r>
        <w:rPr>
          <w:rFonts w:hint="eastAsia" w:ascii="宋体" w:hAnsi="宋体"/>
          <w:b/>
          <w:color w:val="auto"/>
          <w:sz w:val="30"/>
          <w:szCs w:val="30"/>
          <w:highlight w:val="none"/>
          <w:lang w:val="en-US" w:eastAsia="zh-CN"/>
        </w:rPr>
        <w:t>第三条   内</w:t>
      </w:r>
      <w:r>
        <w:rPr>
          <w:rFonts w:hint="eastAsia" w:ascii="宋体" w:hAnsi="宋体"/>
          <w:b/>
          <w:color w:val="auto"/>
          <w:sz w:val="30"/>
          <w:szCs w:val="30"/>
          <w:highlight w:val="none"/>
        </w:rPr>
        <w:t>容及要求</w:t>
      </w:r>
    </w:p>
    <w:p w14:paraId="0028DF52">
      <w:pPr>
        <w:spacing w:after="120"/>
        <w:jc w:val="center"/>
        <w:rPr>
          <w:rFonts w:hint="eastAsia" w:ascii="宋体" w:hAnsi="宋体" w:eastAsia="宋体" w:cs="宋体"/>
          <w:b/>
          <w:sz w:val="21"/>
          <w:szCs w:val="21"/>
        </w:rPr>
      </w:pPr>
      <w:r>
        <w:rPr>
          <w:rFonts w:hint="eastAsia" w:ascii="宋体" w:hAnsi="宋体" w:eastAsia="宋体" w:cs="宋体"/>
          <w:b/>
          <w:sz w:val="21"/>
          <w:szCs w:val="21"/>
        </w:rPr>
        <w:t>供货内容一览表</w:t>
      </w:r>
      <w:r>
        <w:rPr>
          <w:rFonts w:hint="eastAsia" w:ascii="宋体" w:hAnsi="宋体" w:eastAsia="宋体" w:cs="宋体"/>
          <w:sz w:val="21"/>
          <w:szCs w:val="21"/>
        </w:rPr>
        <w:t xml:space="preserve">                                </w:t>
      </w:r>
    </w:p>
    <w:tbl>
      <w:tblPr>
        <w:tblStyle w:val="11"/>
        <w:tblW w:w="954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846"/>
        <w:gridCol w:w="1756"/>
        <w:gridCol w:w="658"/>
        <w:gridCol w:w="714"/>
        <w:gridCol w:w="1116"/>
        <w:gridCol w:w="1134"/>
        <w:gridCol w:w="684"/>
      </w:tblGrid>
      <w:tr w14:paraId="3146B8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center"/>
          </w:tcPr>
          <w:p w14:paraId="1FD4C7FF">
            <w:pPr>
              <w:spacing w:before="166" w:beforeLines="50" w:line="360" w:lineRule="auto"/>
              <w:jc w:val="center"/>
              <w:rPr>
                <w:rFonts w:hint="eastAsia" w:ascii="宋体" w:hAnsi="宋体" w:eastAsia="宋体" w:cs="宋体"/>
                <w:b/>
                <w:sz w:val="21"/>
                <w:szCs w:val="21"/>
              </w:rPr>
            </w:pPr>
            <w:r>
              <w:rPr>
                <w:rFonts w:hint="eastAsia" w:ascii="宋体" w:hAnsi="宋体" w:eastAsia="宋体" w:cs="宋体"/>
                <w:b/>
                <w:sz w:val="21"/>
                <w:szCs w:val="21"/>
              </w:rPr>
              <w:t>序号</w:t>
            </w:r>
          </w:p>
        </w:tc>
        <w:tc>
          <w:tcPr>
            <w:tcW w:w="960" w:type="dxa"/>
            <w:noWrap w:val="0"/>
            <w:vAlign w:val="center"/>
          </w:tcPr>
          <w:p w14:paraId="6AA1546C">
            <w:pPr>
              <w:spacing w:before="166" w:beforeLines="50" w:line="360" w:lineRule="auto"/>
              <w:jc w:val="center"/>
              <w:rPr>
                <w:rFonts w:hint="eastAsia" w:ascii="宋体" w:hAnsi="宋体" w:eastAsia="宋体" w:cs="宋体"/>
                <w:b/>
                <w:sz w:val="21"/>
                <w:szCs w:val="21"/>
              </w:rPr>
            </w:pPr>
            <w:r>
              <w:rPr>
                <w:rFonts w:hint="eastAsia" w:ascii="宋体" w:hAnsi="宋体" w:eastAsia="宋体" w:cs="宋体"/>
                <w:b/>
                <w:sz w:val="21"/>
                <w:szCs w:val="21"/>
              </w:rPr>
              <w:t>名称</w:t>
            </w:r>
          </w:p>
        </w:tc>
        <w:tc>
          <w:tcPr>
            <w:tcW w:w="1846" w:type="dxa"/>
            <w:tcBorders>
              <w:right w:val="single" w:color="auto" w:sz="4" w:space="0"/>
            </w:tcBorders>
            <w:noWrap w:val="0"/>
            <w:vAlign w:val="center"/>
          </w:tcPr>
          <w:p w14:paraId="01A2BF65">
            <w:pPr>
              <w:pStyle w:val="2"/>
              <w:adjustRightInd w:val="0"/>
              <w:snapToGrid w:val="0"/>
              <w:ind w:left="0"/>
              <w:jc w:val="center"/>
              <w:rPr>
                <w:rFonts w:hint="eastAsia" w:ascii="宋体" w:hAnsi="宋体" w:eastAsia="宋体" w:cs="宋体"/>
                <w:sz w:val="21"/>
                <w:szCs w:val="21"/>
                <w:lang w:val="en-US" w:eastAsia="zh-CN"/>
              </w:rPr>
            </w:pPr>
            <w:bookmarkStart w:id="4" w:name="_Toc16727"/>
            <w:r>
              <w:rPr>
                <w:rFonts w:hint="eastAsia" w:ascii="宋体" w:hAnsi="宋体" w:eastAsia="宋体" w:cs="宋体"/>
                <w:sz w:val="21"/>
                <w:szCs w:val="21"/>
                <w:lang w:val="en-US" w:eastAsia="zh-CN"/>
              </w:rPr>
              <w:t>品牌、规格及型号</w:t>
            </w:r>
            <w:bookmarkEnd w:id="4"/>
          </w:p>
        </w:tc>
        <w:tc>
          <w:tcPr>
            <w:tcW w:w="1756" w:type="dxa"/>
            <w:tcBorders>
              <w:left w:val="single" w:color="auto" w:sz="4" w:space="0"/>
            </w:tcBorders>
            <w:noWrap w:val="0"/>
            <w:vAlign w:val="center"/>
          </w:tcPr>
          <w:p w14:paraId="7BB0808E">
            <w:pPr>
              <w:pStyle w:val="2"/>
              <w:adjustRightInd w:val="0"/>
              <w:snapToGrid w:val="0"/>
              <w:ind w:left="0"/>
              <w:jc w:val="center"/>
              <w:rPr>
                <w:rFonts w:hint="eastAsia" w:ascii="宋体" w:hAnsi="宋体" w:eastAsia="宋体" w:cs="宋体"/>
                <w:sz w:val="21"/>
                <w:szCs w:val="21"/>
                <w:highlight w:val="yellow"/>
                <w:lang w:val="en-US" w:eastAsia="zh-CN"/>
              </w:rPr>
            </w:pPr>
            <w:bookmarkStart w:id="5" w:name="_Toc20101"/>
            <w:r>
              <w:rPr>
                <w:rFonts w:hint="eastAsia" w:ascii="宋体" w:hAnsi="宋体" w:eastAsia="宋体" w:cs="宋体"/>
                <w:sz w:val="21"/>
                <w:szCs w:val="21"/>
                <w:lang w:val="en-US" w:eastAsia="zh-CN"/>
              </w:rPr>
              <w:t>原产地及制造厂名</w:t>
            </w:r>
            <w:bookmarkEnd w:id="5"/>
          </w:p>
        </w:tc>
        <w:tc>
          <w:tcPr>
            <w:tcW w:w="658" w:type="dxa"/>
            <w:tcBorders>
              <w:right w:val="single" w:color="auto" w:sz="4" w:space="0"/>
            </w:tcBorders>
            <w:noWrap w:val="0"/>
            <w:vAlign w:val="center"/>
          </w:tcPr>
          <w:p w14:paraId="24997622">
            <w:pPr>
              <w:pStyle w:val="2"/>
              <w:adjustRightInd w:val="0"/>
              <w:snapToGrid w:val="0"/>
              <w:ind w:left="0"/>
              <w:jc w:val="center"/>
              <w:rPr>
                <w:rFonts w:hint="eastAsia" w:ascii="宋体" w:hAnsi="宋体" w:eastAsia="宋体" w:cs="宋体"/>
                <w:sz w:val="21"/>
                <w:szCs w:val="21"/>
                <w:lang w:val="en-US" w:eastAsia="zh-CN"/>
              </w:rPr>
            </w:pPr>
            <w:bookmarkStart w:id="6" w:name="_Toc27118"/>
            <w:r>
              <w:rPr>
                <w:rFonts w:hint="eastAsia" w:ascii="宋体" w:hAnsi="宋体" w:eastAsia="宋体" w:cs="宋体"/>
                <w:sz w:val="21"/>
                <w:szCs w:val="21"/>
                <w:lang w:val="en-US" w:eastAsia="zh-CN"/>
              </w:rPr>
              <w:t>单价</w:t>
            </w:r>
            <w:bookmarkEnd w:id="6"/>
          </w:p>
        </w:tc>
        <w:tc>
          <w:tcPr>
            <w:tcW w:w="714" w:type="dxa"/>
            <w:tcBorders>
              <w:left w:val="single" w:color="auto" w:sz="4" w:space="0"/>
              <w:right w:val="single" w:color="auto" w:sz="4" w:space="0"/>
            </w:tcBorders>
            <w:noWrap w:val="0"/>
            <w:vAlign w:val="center"/>
          </w:tcPr>
          <w:p w14:paraId="15225202">
            <w:pPr>
              <w:pStyle w:val="2"/>
              <w:adjustRightInd w:val="0"/>
              <w:snapToGrid w:val="0"/>
              <w:ind w:left="0"/>
              <w:jc w:val="center"/>
              <w:rPr>
                <w:rFonts w:hint="eastAsia" w:ascii="宋体" w:hAnsi="宋体" w:eastAsia="宋体" w:cs="宋体"/>
                <w:sz w:val="21"/>
                <w:szCs w:val="21"/>
                <w:lang w:val="en-US" w:eastAsia="zh-CN"/>
              </w:rPr>
            </w:pPr>
            <w:bookmarkStart w:id="7" w:name="_Toc16584"/>
            <w:r>
              <w:rPr>
                <w:rFonts w:hint="eastAsia" w:ascii="宋体" w:hAnsi="宋体" w:eastAsia="宋体" w:cs="宋体"/>
                <w:sz w:val="21"/>
                <w:szCs w:val="21"/>
                <w:lang w:val="en-US" w:eastAsia="zh-CN"/>
              </w:rPr>
              <w:t>数量</w:t>
            </w:r>
            <w:bookmarkEnd w:id="7"/>
          </w:p>
        </w:tc>
        <w:tc>
          <w:tcPr>
            <w:tcW w:w="1116" w:type="dxa"/>
            <w:tcBorders>
              <w:left w:val="single" w:color="auto" w:sz="4" w:space="0"/>
            </w:tcBorders>
            <w:noWrap w:val="0"/>
            <w:vAlign w:val="center"/>
          </w:tcPr>
          <w:p w14:paraId="222795C9">
            <w:pPr>
              <w:pStyle w:val="2"/>
              <w:ind w:left="0"/>
              <w:jc w:val="center"/>
              <w:rPr>
                <w:rFonts w:hint="eastAsia" w:ascii="宋体" w:hAnsi="宋体" w:eastAsia="宋体" w:cs="宋体"/>
                <w:sz w:val="21"/>
                <w:szCs w:val="21"/>
                <w:lang w:val="en-US" w:eastAsia="zh-CN"/>
              </w:rPr>
            </w:pPr>
            <w:bookmarkStart w:id="8" w:name="_Toc11050"/>
            <w:r>
              <w:rPr>
                <w:rFonts w:hint="eastAsia" w:ascii="宋体" w:hAnsi="宋体" w:eastAsia="宋体" w:cs="宋体"/>
                <w:sz w:val="21"/>
                <w:szCs w:val="21"/>
                <w:lang w:val="en-US" w:eastAsia="zh-CN"/>
              </w:rPr>
              <w:t>交付地点</w:t>
            </w:r>
            <w:bookmarkEnd w:id="8"/>
          </w:p>
        </w:tc>
        <w:tc>
          <w:tcPr>
            <w:tcW w:w="1134" w:type="dxa"/>
            <w:tcBorders>
              <w:right w:val="single" w:color="auto" w:sz="4" w:space="0"/>
            </w:tcBorders>
            <w:noWrap w:val="0"/>
            <w:vAlign w:val="center"/>
          </w:tcPr>
          <w:p w14:paraId="75552875">
            <w:pPr>
              <w:pStyle w:val="2"/>
              <w:ind w:left="0"/>
              <w:jc w:val="center"/>
              <w:rPr>
                <w:rFonts w:hint="eastAsia" w:ascii="宋体" w:hAnsi="宋体" w:eastAsia="宋体" w:cs="宋体"/>
                <w:sz w:val="21"/>
                <w:szCs w:val="21"/>
                <w:lang w:val="en-US" w:eastAsia="zh-CN"/>
              </w:rPr>
            </w:pPr>
            <w:bookmarkStart w:id="9" w:name="_Toc8351"/>
            <w:r>
              <w:rPr>
                <w:rFonts w:hint="eastAsia" w:ascii="宋体" w:hAnsi="宋体" w:eastAsia="宋体" w:cs="宋体"/>
                <w:sz w:val="21"/>
                <w:szCs w:val="21"/>
                <w:lang w:val="en-US" w:eastAsia="zh-CN"/>
              </w:rPr>
              <w:t>交付时间</w:t>
            </w:r>
            <w:bookmarkEnd w:id="9"/>
          </w:p>
        </w:tc>
        <w:tc>
          <w:tcPr>
            <w:tcW w:w="684" w:type="dxa"/>
            <w:tcBorders>
              <w:right w:val="single" w:color="auto" w:sz="4" w:space="0"/>
            </w:tcBorders>
            <w:noWrap w:val="0"/>
            <w:vAlign w:val="center"/>
          </w:tcPr>
          <w:p w14:paraId="6B6B58FA">
            <w:pPr>
              <w:pStyle w:val="2"/>
              <w:ind w:left="0"/>
              <w:jc w:val="center"/>
              <w:rPr>
                <w:rFonts w:hint="eastAsia" w:ascii="宋体" w:hAnsi="宋体" w:eastAsia="宋体" w:cs="宋体"/>
                <w:sz w:val="21"/>
                <w:szCs w:val="21"/>
                <w:lang w:val="en-US" w:eastAsia="zh-CN"/>
              </w:rPr>
            </w:pPr>
            <w:bookmarkStart w:id="10" w:name="_Toc24096"/>
            <w:r>
              <w:rPr>
                <w:rFonts w:hint="eastAsia" w:ascii="宋体" w:hAnsi="宋体" w:eastAsia="宋体" w:cs="宋体"/>
                <w:sz w:val="21"/>
                <w:szCs w:val="21"/>
                <w:lang w:val="en-US" w:eastAsia="zh-CN"/>
              </w:rPr>
              <w:t>备注</w:t>
            </w:r>
            <w:bookmarkEnd w:id="10"/>
          </w:p>
        </w:tc>
      </w:tr>
      <w:tr w14:paraId="4479EE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7A02DADF">
            <w:pPr>
              <w:spacing w:before="166" w:beforeLines="50" w:line="360" w:lineRule="auto"/>
              <w:jc w:val="center"/>
              <w:rPr>
                <w:rFonts w:hint="eastAsia" w:ascii="宋体" w:hAnsi="宋体" w:eastAsia="宋体" w:cs="宋体"/>
                <w:sz w:val="21"/>
                <w:szCs w:val="21"/>
              </w:rPr>
            </w:pPr>
          </w:p>
        </w:tc>
        <w:tc>
          <w:tcPr>
            <w:tcW w:w="960" w:type="dxa"/>
            <w:noWrap w:val="0"/>
            <w:vAlign w:val="top"/>
          </w:tcPr>
          <w:p w14:paraId="075A0C31">
            <w:pPr>
              <w:spacing w:before="166" w:beforeLines="50" w:line="360" w:lineRule="auto"/>
              <w:jc w:val="center"/>
              <w:rPr>
                <w:rFonts w:hint="eastAsia" w:ascii="宋体" w:hAnsi="宋体" w:eastAsia="宋体" w:cs="宋体"/>
                <w:sz w:val="21"/>
                <w:szCs w:val="21"/>
              </w:rPr>
            </w:pPr>
          </w:p>
        </w:tc>
        <w:tc>
          <w:tcPr>
            <w:tcW w:w="1846" w:type="dxa"/>
            <w:tcBorders>
              <w:right w:val="single" w:color="auto" w:sz="4" w:space="0"/>
            </w:tcBorders>
            <w:noWrap w:val="0"/>
            <w:vAlign w:val="top"/>
          </w:tcPr>
          <w:p w14:paraId="4161317D">
            <w:pPr>
              <w:spacing w:before="166" w:beforeLines="50" w:line="360" w:lineRule="auto"/>
              <w:jc w:val="center"/>
              <w:rPr>
                <w:rFonts w:hint="eastAsia" w:ascii="宋体" w:hAnsi="宋体" w:eastAsia="宋体" w:cs="宋体"/>
                <w:sz w:val="21"/>
                <w:szCs w:val="21"/>
              </w:rPr>
            </w:pPr>
          </w:p>
        </w:tc>
        <w:tc>
          <w:tcPr>
            <w:tcW w:w="1756" w:type="dxa"/>
            <w:tcBorders>
              <w:left w:val="single" w:color="auto" w:sz="4" w:space="0"/>
            </w:tcBorders>
            <w:noWrap w:val="0"/>
            <w:vAlign w:val="top"/>
          </w:tcPr>
          <w:p w14:paraId="4F73B0A4">
            <w:pPr>
              <w:spacing w:before="166" w:beforeLines="50" w:line="360" w:lineRule="auto"/>
              <w:jc w:val="center"/>
              <w:rPr>
                <w:rFonts w:hint="eastAsia" w:ascii="宋体" w:hAnsi="宋体" w:eastAsia="宋体" w:cs="宋体"/>
                <w:sz w:val="21"/>
                <w:szCs w:val="21"/>
              </w:rPr>
            </w:pPr>
          </w:p>
        </w:tc>
        <w:tc>
          <w:tcPr>
            <w:tcW w:w="658" w:type="dxa"/>
            <w:tcBorders>
              <w:right w:val="single" w:color="auto" w:sz="4" w:space="0"/>
            </w:tcBorders>
            <w:noWrap w:val="0"/>
            <w:vAlign w:val="top"/>
          </w:tcPr>
          <w:p w14:paraId="6DF53DD6">
            <w:pPr>
              <w:spacing w:before="166" w:beforeLines="50" w:line="360" w:lineRule="auto"/>
              <w:jc w:val="center"/>
              <w:rPr>
                <w:rFonts w:hint="eastAsia" w:ascii="宋体" w:hAnsi="宋体" w:eastAsia="宋体" w:cs="宋体"/>
                <w:sz w:val="21"/>
                <w:szCs w:val="21"/>
              </w:rPr>
            </w:pPr>
          </w:p>
        </w:tc>
        <w:tc>
          <w:tcPr>
            <w:tcW w:w="714" w:type="dxa"/>
            <w:tcBorders>
              <w:left w:val="single" w:color="auto" w:sz="4" w:space="0"/>
              <w:right w:val="single" w:color="auto" w:sz="4" w:space="0"/>
            </w:tcBorders>
            <w:noWrap w:val="0"/>
            <w:vAlign w:val="top"/>
          </w:tcPr>
          <w:p w14:paraId="5D9B8D5A">
            <w:pPr>
              <w:spacing w:before="166" w:beforeLines="50" w:line="360" w:lineRule="auto"/>
              <w:jc w:val="center"/>
              <w:rPr>
                <w:rFonts w:hint="eastAsia" w:ascii="宋体" w:hAnsi="宋体" w:eastAsia="宋体" w:cs="宋体"/>
                <w:sz w:val="21"/>
                <w:szCs w:val="21"/>
              </w:rPr>
            </w:pPr>
          </w:p>
        </w:tc>
        <w:tc>
          <w:tcPr>
            <w:tcW w:w="1116" w:type="dxa"/>
            <w:tcBorders>
              <w:left w:val="single" w:color="auto" w:sz="4" w:space="0"/>
            </w:tcBorders>
            <w:noWrap w:val="0"/>
            <w:vAlign w:val="top"/>
          </w:tcPr>
          <w:p w14:paraId="2259C939">
            <w:pPr>
              <w:spacing w:before="166" w:beforeLines="50" w:line="360" w:lineRule="auto"/>
              <w:jc w:val="center"/>
              <w:rPr>
                <w:rFonts w:hint="eastAsia" w:ascii="宋体" w:hAnsi="宋体" w:eastAsia="宋体" w:cs="宋体"/>
                <w:sz w:val="21"/>
                <w:szCs w:val="21"/>
              </w:rPr>
            </w:pPr>
          </w:p>
        </w:tc>
        <w:tc>
          <w:tcPr>
            <w:tcW w:w="1134" w:type="dxa"/>
            <w:tcBorders>
              <w:right w:val="single" w:color="auto" w:sz="4" w:space="0"/>
            </w:tcBorders>
            <w:noWrap w:val="0"/>
            <w:vAlign w:val="top"/>
          </w:tcPr>
          <w:p w14:paraId="5366AB5D">
            <w:pPr>
              <w:spacing w:before="166" w:beforeLines="50" w:line="360" w:lineRule="auto"/>
              <w:jc w:val="center"/>
              <w:rPr>
                <w:rFonts w:hint="eastAsia" w:ascii="宋体" w:hAnsi="宋体" w:eastAsia="宋体" w:cs="宋体"/>
                <w:sz w:val="21"/>
                <w:szCs w:val="21"/>
              </w:rPr>
            </w:pPr>
          </w:p>
        </w:tc>
        <w:tc>
          <w:tcPr>
            <w:tcW w:w="684" w:type="dxa"/>
            <w:tcBorders>
              <w:right w:val="single" w:color="auto" w:sz="4" w:space="0"/>
            </w:tcBorders>
            <w:noWrap w:val="0"/>
            <w:vAlign w:val="top"/>
          </w:tcPr>
          <w:p w14:paraId="60B63482">
            <w:pPr>
              <w:spacing w:before="166" w:beforeLines="50" w:line="360" w:lineRule="auto"/>
              <w:jc w:val="center"/>
              <w:rPr>
                <w:rFonts w:hint="eastAsia" w:ascii="宋体" w:hAnsi="宋体" w:eastAsia="宋体" w:cs="宋体"/>
                <w:sz w:val="21"/>
                <w:szCs w:val="21"/>
              </w:rPr>
            </w:pPr>
          </w:p>
        </w:tc>
      </w:tr>
      <w:tr w14:paraId="433077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0CF9F0E7">
            <w:pPr>
              <w:spacing w:before="166" w:beforeLines="50" w:line="360" w:lineRule="auto"/>
              <w:jc w:val="center"/>
              <w:rPr>
                <w:rFonts w:hint="eastAsia" w:ascii="宋体" w:hAnsi="宋体" w:eastAsia="宋体" w:cs="宋体"/>
                <w:sz w:val="21"/>
                <w:szCs w:val="21"/>
              </w:rPr>
            </w:pPr>
          </w:p>
        </w:tc>
        <w:tc>
          <w:tcPr>
            <w:tcW w:w="960" w:type="dxa"/>
            <w:noWrap w:val="0"/>
            <w:vAlign w:val="top"/>
          </w:tcPr>
          <w:p w14:paraId="54F1C73D">
            <w:pPr>
              <w:spacing w:before="166" w:beforeLines="50" w:line="360" w:lineRule="auto"/>
              <w:jc w:val="center"/>
              <w:rPr>
                <w:rFonts w:hint="eastAsia" w:ascii="宋体" w:hAnsi="宋体" w:eastAsia="宋体" w:cs="宋体"/>
                <w:sz w:val="21"/>
                <w:szCs w:val="21"/>
              </w:rPr>
            </w:pPr>
          </w:p>
        </w:tc>
        <w:tc>
          <w:tcPr>
            <w:tcW w:w="1846" w:type="dxa"/>
            <w:tcBorders>
              <w:right w:val="single" w:color="auto" w:sz="4" w:space="0"/>
            </w:tcBorders>
            <w:noWrap w:val="0"/>
            <w:vAlign w:val="top"/>
          </w:tcPr>
          <w:p w14:paraId="6EE2D1A5">
            <w:pPr>
              <w:spacing w:before="166" w:beforeLines="50" w:line="360" w:lineRule="auto"/>
              <w:jc w:val="center"/>
              <w:rPr>
                <w:rFonts w:hint="eastAsia" w:ascii="宋体" w:hAnsi="宋体" w:eastAsia="宋体" w:cs="宋体"/>
                <w:sz w:val="21"/>
                <w:szCs w:val="21"/>
              </w:rPr>
            </w:pPr>
          </w:p>
        </w:tc>
        <w:tc>
          <w:tcPr>
            <w:tcW w:w="1756" w:type="dxa"/>
            <w:tcBorders>
              <w:left w:val="single" w:color="auto" w:sz="4" w:space="0"/>
            </w:tcBorders>
            <w:noWrap w:val="0"/>
            <w:vAlign w:val="top"/>
          </w:tcPr>
          <w:p w14:paraId="1A63CB5A">
            <w:pPr>
              <w:spacing w:before="166" w:beforeLines="50" w:line="360" w:lineRule="auto"/>
              <w:jc w:val="center"/>
              <w:rPr>
                <w:rFonts w:hint="eastAsia" w:ascii="宋体" w:hAnsi="宋体" w:eastAsia="宋体" w:cs="宋体"/>
                <w:sz w:val="21"/>
                <w:szCs w:val="21"/>
              </w:rPr>
            </w:pPr>
          </w:p>
        </w:tc>
        <w:tc>
          <w:tcPr>
            <w:tcW w:w="658" w:type="dxa"/>
            <w:tcBorders>
              <w:right w:val="single" w:color="auto" w:sz="4" w:space="0"/>
            </w:tcBorders>
            <w:noWrap w:val="0"/>
            <w:vAlign w:val="top"/>
          </w:tcPr>
          <w:p w14:paraId="232DCD98">
            <w:pPr>
              <w:spacing w:before="166" w:beforeLines="50" w:line="360" w:lineRule="auto"/>
              <w:jc w:val="center"/>
              <w:rPr>
                <w:rFonts w:hint="eastAsia" w:ascii="宋体" w:hAnsi="宋体" w:eastAsia="宋体" w:cs="宋体"/>
                <w:sz w:val="21"/>
                <w:szCs w:val="21"/>
              </w:rPr>
            </w:pPr>
          </w:p>
        </w:tc>
        <w:tc>
          <w:tcPr>
            <w:tcW w:w="714" w:type="dxa"/>
            <w:tcBorders>
              <w:left w:val="single" w:color="auto" w:sz="4" w:space="0"/>
              <w:right w:val="single" w:color="auto" w:sz="4" w:space="0"/>
            </w:tcBorders>
            <w:noWrap w:val="0"/>
            <w:vAlign w:val="top"/>
          </w:tcPr>
          <w:p w14:paraId="54690B13">
            <w:pPr>
              <w:spacing w:before="166" w:beforeLines="50" w:line="360" w:lineRule="auto"/>
              <w:jc w:val="center"/>
              <w:rPr>
                <w:rFonts w:hint="eastAsia" w:ascii="宋体" w:hAnsi="宋体" w:eastAsia="宋体" w:cs="宋体"/>
                <w:sz w:val="21"/>
                <w:szCs w:val="21"/>
              </w:rPr>
            </w:pPr>
          </w:p>
        </w:tc>
        <w:tc>
          <w:tcPr>
            <w:tcW w:w="1116" w:type="dxa"/>
            <w:tcBorders>
              <w:left w:val="single" w:color="auto" w:sz="4" w:space="0"/>
            </w:tcBorders>
            <w:noWrap w:val="0"/>
            <w:vAlign w:val="top"/>
          </w:tcPr>
          <w:p w14:paraId="165E7127">
            <w:pPr>
              <w:spacing w:before="166" w:beforeLines="50" w:line="360" w:lineRule="auto"/>
              <w:jc w:val="center"/>
              <w:rPr>
                <w:rFonts w:hint="eastAsia" w:ascii="宋体" w:hAnsi="宋体" w:eastAsia="宋体" w:cs="宋体"/>
                <w:sz w:val="21"/>
                <w:szCs w:val="21"/>
              </w:rPr>
            </w:pPr>
          </w:p>
        </w:tc>
        <w:tc>
          <w:tcPr>
            <w:tcW w:w="1134" w:type="dxa"/>
            <w:tcBorders>
              <w:right w:val="single" w:color="auto" w:sz="4" w:space="0"/>
            </w:tcBorders>
            <w:noWrap w:val="0"/>
            <w:vAlign w:val="top"/>
          </w:tcPr>
          <w:p w14:paraId="0CA70D0A">
            <w:pPr>
              <w:spacing w:before="166" w:beforeLines="50" w:line="360" w:lineRule="auto"/>
              <w:jc w:val="center"/>
              <w:rPr>
                <w:rFonts w:hint="eastAsia" w:ascii="宋体" w:hAnsi="宋体" w:eastAsia="宋体" w:cs="宋体"/>
                <w:sz w:val="21"/>
                <w:szCs w:val="21"/>
              </w:rPr>
            </w:pPr>
          </w:p>
        </w:tc>
        <w:tc>
          <w:tcPr>
            <w:tcW w:w="684" w:type="dxa"/>
            <w:tcBorders>
              <w:right w:val="single" w:color="auto" w:sz="4" w:space="0"/>
            </w:tcBorders>
            <w:noWrap w:val="0"/>
            <w:vAlign w:val="top"/>
          </w:tcPr>
          <w:p w14:paraId="638FFB6D">
            <w:pPr>
              <w:spacing w:before="166" w:beforeLines="50" w:line="360" w:lineRule="auto"/>
              <w:jc w:val="center"/>
              <w:rPr>
                <w:rFonts w:hint="eastAsia" w:ascii="宋体" w:hAnsi="宋体" w:eastAsia="宋体" w:cs="宋体"/>
                <w:sz w:val="21"/>
                <w:szCs w:val="21"/>
              </w:rPr>
            </w:pPr>
          </w:p>
        </w:tc>
      </w:tr>
      <w:tr w14:paraId="6D1C2A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61506D7E">
            <w:pPr>
              <w:spacing w:before="166" w:beforeLines="50" w:line="360" w:lineRule="auto"/>
              <w:jc w:val="center"/>
              <w:rPr>
                <w:rFonts w:hint="eastAsia" w:ascii="宋体" w:hAnsi="宋体" w:eastAsia="宋体" w:cs="宋体"/>
                <w:sz w:val="21"/>
                <w:szCs w:val="21"/>
              </w:rPr>
            </w:pPr>
          </w:p>
        </w:tc>
        <w:tc>
          <w:tcPr>
            <w:tcW w:w="960" w:type="dxa"/>
            <w:noWrap w:val="0"/>
            <w:vAlign w:val="top"/>
          </w:tcPr>
          <w:p w14:paraId="787C938F">
            <w:pPr>
              <w:spacing w:before="166" w:beforeLines="50" w:line="360" w:lineRule="auto"/>
              <w:jc w:val="center"/>
              <w:rPr>
                <w:rFonts w:hint="eastAsia" w:ascii="宋体" w:hAnsi="宋体" w:eastAsia="宋体" w:cs="宋体"/>
                <w:sz w:val="21"/>
                <w:szCs w:val="21"/>
              </w:rPr>
            </w:pPr>
          </w:p>
        </w:tc>
        <w:tc>
          <w:tcPr>
            <w:tcW w:w="1846" w:type="dxa"/>
            <w:tcBorders>
              <w:right w:val="single" w:color="auto" w:sz="4" w:space="0"/>
            </w:tcBorders>
            <w:noWrap w:val="0"/>
            <w:vAlign w:val="top"/>
          </w:tcPr>
          <w:p w14:paraId="03A7018E">
            <w:pPr>
              <w:spacing w:before="166" w:beforeLines="50" w:line="360" w:lineRule="auto"/>
              <w:jc w:val="center"/>
              <w:rPr>
                <w:rFonts w:hint="eastAsia" w:ascii="宋体" w:hAnsi="宋体" w:eastAsia="宋体" w:cs="宋体"/>
                <w:sz w:val="21"/>
                <w:szCs w:val="21"/>
              </w:rPr>
            </w:pPr>
          </w:p>
        </w:tc>
        <w:tc>
          <w:tcPr>
            <w:tcW w:w="1756" w:type="dxa"/>
            <w:tcBorders>
              <w:left w:val="single" w:color="auto" w:sz="4" w:space="0"/>
            </w:tcBorders>
            <w:noWrap w:val="0"/>
            <w:vAlign w:val="top"/>
          </w:tcPr>
          <w:p w14:paraId="4ECCDFB7">
            <w:pPr>
              <w:spacing w:before="166" w:beforeLines="50" w:line="360" w:lineRule="auto"/>
              <w:jc w:val="center"/>
              <w:rPr>
                <w:rFonts w:hint="eastAsia" w:ascii="宋体" w:hAnsi="宋体" w:eastAsia="宋体" w:cs="宋体"/>
                <w:sz w:val="21"/>
                <w:szCs w:val="21"/>
              </w:rPr>
            </w:pPr>
          </w:p>
        </w:tc>
        <w:tc>
          <w:tcPr>
            <w:tcW w:w="658" w:type="dxa"/>
            <w:tcBorders>
              <w:right w:val="single" w:color="auto" w:sz="4" w:space="0"/>
            </w:tcBorders>
            <w:noWrap w:val="0"/>
            <w:vAlign w:val="top"/>
          </w:tcPr>
          <w:p w14:paraId="713B42F0">
            <w:pPr>
              <w:spacing w:before="166" w:beforeLines="50" w:line="360" w:lineRule="auto"/>
              <w:jc w:val="center"/>
              <w:rPr>
                <w:rFonts w:hint="eastAsia" w:ascii="宋体" w:hAnsi="宋体" w:eastAsia="宋体" w:cs="宋体"/>
                <w:sz w:val="21"/>
                <w:szCs w:val="21"/>
              </w:rPr>
            </w:pPr>
          </w:p>
        </w:tc>
        <w:tc>
          <w:tcPr>
            <w:tcW w:w="714" w:type="dxa"/>
            <w:tcBorders>
              <w:left w:val="single" w:color="auto" w:sz="4" w:space="0"/>
              <w:right w:val="single" w:color="auto" w:sz="4" w:space="0"/>
            </w:tcBorders>
            <w:noWrap w:val="0"/>
            <w:vAlign w:val="top"/>
          </w:tcPr>
          <w:p w14:paraId="7402D4F6">
            <w:pPr>
              <w:spacing w:before="166" w:beforeLines="50" w:line="360" w:lineRule="auto"/>
              <w:jc w:val="center"/>
              <w:rPr>
                <w:rFonts w:hint="eastAsia" w:ascii="宋体" w:hAnsi="宋体" w:eastAsia="宋体" w:cs="宋体"/>
                <w:sz w:val="21"/>
                <w:szCs w:val="21"/>
              </w:rPr>
            </w:pPr>
          </w:p>
        </w:tc>
        <w:tc>
          <w:tcPr>
            <w:tcW w:w="1116" w:type="dxa"/>
            <w:tcBorders>
              <w:left w:val="single" w:color="auto" w:sz="4" w:space="0"/>
            </w:tcBorders>
            <w:noWrap w:val="0"/>
            <w:vAlign w:val="top"/>
          </w:tcPr>
          <w:p w14:paraId="195EF674">
            <w:pPr>
              <w:spacing w:before="166" w:beforeLines="50" w:line="360" w:lineRule="auto"/>
              <w:jc w:val="center"/>
              <w:rPr>
                <w:rFonts w:hint="eastAsia" w:ascii="宋体" w:hAnsi="宋体" w:eastAsia="宋体" w:cs="宋体"/>
                <w:sz w:val="21"/>
                <w:szCs w:val="21"/>
              </w:rPr>
            </w:pPr>
          </w:p>
        </w:tc>
        <w:tc>
          <w:tcPr>
            <w:tcW w:w="1134" w:type="dxa"/>
            <w:tcBorders>
              <w:right w:val="single" w:color="auto" w:sz="4" w:space="0"/>
            </w:tcBorders>
            <w:noWrap w:val="0"/>
            <w:vAlign w:val="top"/>
          </w:tcPr>
          <w:p w14:paraId="767D6BE3">
            <w:pPr>
              <w:spacing w:before="166" w:beforeLines="50" w:line="360" w:lineRule="auto"/>
              <w:jc w:val="center"/>
              <w:rPr>
                <w:rFonts w:hint="eastAsia" w:ascii="宋体" w:hAnsi="宋体" w:eastAsia="宋体" w:cs="宋体"/>
                <w:sz w:val="21"/>
                <w:szCs w:val="21"/>
              </w:rPr>
            </w:pPr>
          </w:p>
        </w:tc>
        <w:tc>
          <w:tcPr>
            <w:tcW w:w="684" w:type="dxa"/>
            <w:tcBorders>
              <w:right w:val="single" w:color="auto" w:sz="4" w:space="0"/>
            </w:tcBorders>
            <w:noWrap w:val="0"/>
            <w:vAlign w:val="top"/>
          </w:tcPr>
          <w:p w14:paraId="1463E4BC">
            <w:pPr>
              <w:spacing w:before="166" w:beforeLines="50" w:line="360" w:lineRule="auto"/>
              <w:jc w:val="center"/>
              <w:rPr>
                <w:rFonts w:hint="eastAsia" w:ascii="宋体" w:hAnsi="宋体" w:eastAsia="宋体" w:cs="宋体"/>
                <w:sz w:val="21"/>
                <w:szCs w:val="21"/>
              </w:rPr>
            </w:pPr>
          </w:p>
        </w:tc>
      </w:tr>
      <w:tr w14:paraId="7AFAA0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2F5EF6E3">
            <w:pPr>
              <w:spacing w:before="166" w:beforeLines="50" w:line="360" w:lineRule="auto"/>
              <w:jc w:val="center"/>
              <w:rPr>
                <w:rFonts w:hint="eastAsia" w:ascii="宋体" w:hAnsi="宋体" w:eastAsia="宋体" w:cs="宋体"/>
                <w:sz w:val="21"/>
                <w:szCs w:val="21"/>
              </w:rPr>
            </w:pPr>
          </w:p>
        </w:tc>
        <w:tc>
          <w:tcPr>
            <w:tcW w:w="960" w:type="dxa"/>
            <w:noWrap w:val="0"/>
            <w:vAlign w:val="top"/>
          </w:tcPr>
          <w:p w14:paraId="4BBA07DD">
            <w:pPr>
              <w:spacing w:before="166" w:beforeLines="50" w:line="360" w:lineRule="auto"/>
              <w:jc w:val="center"/>
              <w:rPr>
                <w:rFonts w:hint="eastAsia" w:ascii="宋体" w:hAnsi="宋体" w:eastAsia="宋体" w:cs="宋体"/>
                <w:sz w:val="21"/>
                <w:szCs w:val="21"/>
              </w:rPr>
            </w:pPr>
          </w:p>
        </w:tc>
        <w:tc>
          <w:tcPr>
            <w:tcW w:w="1846" w:type="dxa"/>
            <w:tcBorders>
              <w:right w:val="single" w:color="auto" w:sz="4" w:space="0"/>
            </w:tcBorders>
            <w:noWrap w:val="0"/>
            <w:vAlign w:val="top"/>
          </w:tcPr>
          <w:p w14:paraId="14471766">
            <w:pPr>
              <w:spacing w:before="166" w:beforeLines="50" w:line="360" w:lineRule="auto"/>
              <w:jc w:val="center"/>
              <w:rPr>
                <w:rFonts w:hint="eastAsia" w:ascii="宋体" w:hAnsi="宋体" w:eastAsia="宋体" w:cs="宋体"/>
                <w:sz w:val="21"/>
                <w:szCs w:val="21"/>
              </w:rPr>
            </w:pPr>
          </w:p>
        </w:tc>
        <w:tc>
          <w:tcPr>
            <w:tcW w:w="1756" w:type="dxa"/>
            <w:tcBorders>
              <w:left w:val="single" w:color="auto" w:sz="4" w:space="0"/>
            </w:tcBorders>
            <w:noWrap w:val="0"/>
            <w:vAlign w:val="top"/>
          </w:tcPr>
          <w:p w14:paraId="152D1F09">
            <w:pPr>
              <w:spacing w:before="166" w:beforeLines="50" w:line="360" w:lineRule="auto"/>
              <w:jc w:val="center"/>
              <w:rPr>
                <w:rFonts w:hint="eastAsia" w:ascii="宋体" w:hAnsi="宋体" w:eastAsia="宋体" w:cs="宋体"/>
                <w:sz w:val="21"/>
                <w:szCs w:val="21"/>
              </w:rPr>
            </w:pPr>
          </w:p>
        </w:tc>
        <w:tc>
          <w:tcPr>
            <w:tcW w:w="658" w:type="dxa"/>
            <w:tcBorders>
              <w:right w:val="single" w:color="auto" w:sz="4" w:space="0"/>
            </w:tcBorders>
            <w:noWrap w:val="0"/>
            <w:vAlign w:val="top"/>
          </w:tcPr>
          <w:p w14:paraId="2BAEE0F9">
            <w:pPr>
              <w:spacing w:before="166" w:beforeLines="50" w:line="360" w:lineRule="auto"/>
              <w:jc w:val="center"/>
              <w:rPr>
                <w:rFonts w:hint="eastAsia" w:ascii="宋体" w:hAnsi="宋体" w:eastAsia="宋体" w:cs="宋体"/>
                <w:sz w:val="21"/>
                <w:szCs w:val="21"/>
              </w:rPr>
            </w:pPr>
          </w:p>
        </w:tc>
        <w:tc>
          <w:tcPr>
            <w:tcW w:w="714" w:type="dxa"/>
            <w:tcBorders>
              <w:left w:val="single" w:color="auto" w:sz="4" w:space="0"/>
              <w:right w:val="single" w:color="auto" w:sz="4" w:space="0"/>
            </w:tcBorders>
            <w:noWrap w:val="0"/>
            <w:vAlign w:val="top"/>
          </w:tcPr>
          <w:p w14:paraId="26622924">
            <w:pPr>
              <w:spacing w:before="166" w:beforeLines="50" w:line="360" w:lineRule="auto"/>
              <w:jc w:val="center"/>
              <w:rPr>
                <w:rFonts w:hint="eastAsia" w:ascii="宋体" w:hAnsi="宋体" w:eastAsia="宋体" w:cs="宋体"/>
                <w:sz w:val="21"/>
                <w:szCs w:val="21"/>
              </w:rPr>
            </w:pPr>
          </w:p>
        </w:tc>
        <w:tc>
          <w:tcPr>
            <w:tcW w:w="1116" w:type="dxa"/>
            <w:tcBorders>
              <w:left w:val="single" w:color="auto" w:sz="4" w:space="0"/>
            </w:tcBorders>
            <w:noWrap w:val="0"/>
            <w:vAlign w:val="top"/>
          </w:tcPr>
          <w:p w14:paraId="3225C5CE">
            <w:pPr>
              <w:spacing w:before="166" w:beforeLines="50" w:line="360" w:lineRule="auto"/>
              <w:jc w:val="center"/>
              <w:rPr>
                <w:rFonts w:hint="eastAsia" w:ascii="宋体" w:hAnsi="宋体" w:eastAsia="宋体" w:cs="宋体"/>
                <w:sz w:val="21"/>
                <w:szCs w:val="21"/>
              </w:rPr>
            </w:pPr>
          </w:p>
        </w:tc>
        <w:tc>
          <w:tcPr>
            <w:tcW w:w="1134" w:type="dxa"/>
            <w:tcBorders>
              <w:right w:val="single" w:color="auto" w:sz="4" w:space="0"/>
            </w:tcBorders>
            <w:noWrap w:val="0"/>
            <w:vAlign w:val="top"/>
          </w:tcPr>
          <w:p w14:paraId="045E26E6">
            <w:pPr>
              <w:spacing w:before="166" w:beforeLines="50" w:line="360" w:lineRule="auto"/>
              <w:jc w:val="center"/>
              <w:rPr>
                <w:rFonts w:hint="eastAsia" w:ascii="宋体" w:hAnsi="宋体" w:eastAsia="宋体" w:cs="宋体"/>
                <w:sz w:val="21"/>
                <w:szCs w:val="21"/>
              </w:rPr>
            </w:pPr>
          </w:p>
        </w:tc>
        <w:tc>
          <w:tcPr>
            <w:tcW w:w="684" w:type="dxa"/>
            <w:tcBorders>
              <w:right w:val="single" w:color="auto" w:sz="4" w:space="0"/>
            </w:tcBorders>
            <w:noWrap w:val="0"/>
            <w:vAlign w:val="top"/>
          </w:tcPr>
          <w:p w14:paraId="38ECB944">
            <w:pPr>
              <w:spacing w:before="166" w:beforeLines="50" w:line="360" w:lineRule="auto"/>
              <w:jc w:val="center"/>
              <w:rPr>
                <w:rFonts w:hint="eastAsia" w:ascii="宋体" w:hAnsi="宋体" w:eastAsia="宋体" w:cs="宋体"/>
                <w:sz w:val="21"/>
                <w:szCs w:val="21"/>
              </w:rPr>
            </w:pPr>
          </w:p>
        </w:tc>
      </w:tr>
    </w:tbl>
    <w:p w14:paraId="12278EC5">
      <w:pPr>
        <w:pStyle w:val="13"/>
        <w:spacing w:before="120" w:beforeLines="50" w:line="360" w:lineRule="auto"/>
        <w:ind w:firstLine="452" w:firstLineChars="150"/>
        <w:outlineLvl w:val="1"/>
        <w:rPr>
          <w:rFonts w:hint="eastAsia" w:ascii="宋体" w:hAnsi="宋体"/>
          <w:b/>
          <w:color w:val="auto"/>
          <w:sz w:val="30"/>
          <w:szCs w:val="30"/>
          <w:highlight w:val="none"/>
        </w:rPr>
      </w:pPr>
      <w:r>
        <w:rPr>
          <w:rFonts w:hint="eastAsia" w:ascii="宋体" w:hAnsi="宋体"/>
          <w:b/>
          <w:color w:val="auto"/>
          <w:sz w:val="30"/>
          <w:szCs w:val="30"/>
          <w:highlight w:val="none"/>
        </w:rPr>
        <w:t>第</w:t>
      </w:r>
      <w:r>
        <w:rPr>
          <w:rFonts w:hint="eastAsia" w:ascii="宋体" w:hAnsi="宋体"/>
          <w:b/>
          <w:color w:val="auto"/>
          <w:sz w:val="30"/>
          <w:szCs w:val="30"/>
          <w:highlight w:val="none"/>
          <w:lang w:val="en-US" w:eastAsia="zh-CN"/>
        </w:rPr>
        <w:t>四</w:t>
      </w:r>
      <w:r>
        <w:rPr>
          <w:rFonts w:hint="eastAsia" w:ascii="宋体" w:hAnsi="宋体"/>
          <w:b/>
          <w:color w:val="auto"/>
          <w:sz w:val="30"/>
          <w:szCs w:val="30"/>
          <w:highlight w:val="none"/>
        </w:rPr>
        <w:t>条 合同价款</w:t>
      </w:r>
      <w:bookmarkEnd w:id="2"/>
      <w:bookmarkEnd w:id="3"/>
    </w:p>
    <w:p w14:paraId="1B56267A">
      <w:pPr>
        <w:pStyle w:val="2"/>
        <w:spacing w:before="0" w:after="0" w:line="360" w:lineRule="auto"/>
        <w:ind w:firstLine="516" w:firstLineChars="246"/>
        <w:rPr>
          <w:rFonts w:hint="eastAsia" w:ascii="宋体" w:hAnsi="宋体" w:eastAsia="宋体" w:cs="宋体"/>
          <w:b w:val="0"/>
          <w:color w:val="auto"/>
          <w:sz w:val="21"/>
          <w:szCs w:val="21"/>
          <w:highlight w:val="none"/>
        </w:rPr>
      </w:pPr>
      <w:bookmarkStart w:id="11" w:name="_Toc30597"/>
      <w:bookmarkStart w:id="12" w:name="_Toc12510"/>
      <w:r>
        <w:rPr>
          <w:rFonts w:hint="eastAsia" w:ascii="宋体" w:hAnsi="宋体" w:eastAsia="宋体" w:cs="宋体"/>
          <w:b w:val="0"/>
          <w:color w:val="auto"/>
          <w:sz w:val="21"/>
          <w:szCs w:val="21"/>
          <w:highlight w:val="none"/>
        </w:rPr>
        <w:t>1.合同总价：人民币（大写）</w:t>
      </w:r>
      <w:r>
        <w:rPr>
          <w:rFonts w:hint="eastAsia" w:ascii="宋体" w:hAnsi="宋体" w:eastAsia="宋体" w:cs="宋体"/>
          <w:b w:val="0"/>
          <w:color w:val="auto"/>
          <w:sz w:val="21"/>
          <w:szCs w:val="21"/>
          <w:highlight w:val="none"/>
          <w:u w:val="single"/>
        </w:rPr>
        <w:t xml:space="preserve">                 </w:t>
      </w:r>
      <w:r>
        <w:rPr>
          <w:rFonts w:hint="eastAsia" w:ascii="宋体" w:hAnsi="宋体" w:eastAsia="宋体" w:cs="宋体"/>
          <w:b w:val="0"/>
          <w:color w:val="auto"/>
          <w:sz w:val="21"/>
          <w:szCs w:val="21"/>
          <w:highlight w:val="none"/>
        </w:rPr>
        <w:t xml:space="preserve"> 元，（￥</w:t>
      </w:r>
      <w:r>
        <w:rPr>
          <w:rFonts w:hint="eastAsia" w:ascii="宋体" w:hAnsi="宋体" w:eastAsia="宋体" w:cs="宋体"/>
          <w:b w:val="0"/>
          <w:color w:val="auto"/>
          <w:sz w:val="21"/>
          <w:szCs w:val="21"/>
          <w:highlight w:val="none"/>
          <w:u w:val="single"/>
        </w:rPr>
        <w:t xml:space="preserve">           </w:t>
      </w:r>
      <w:r>
        <w:rPr>
          <w:rFonts w:hint="eastAsia" w:ascii="宋体" w:hAnsi="宋体" w:eastAsia="宋体" w:cs="宋体"/>
          <w:b w:val="0"/>
          <w:color w:val="auto"/>
          <w:sz w:val="21"/>
          <w:szCs w:val="21"/>
          <w:highlight w:val="none"/>
        </w:rPr>
        <w:t xml:space="preserve"> ）。</w:t>
      </w:r>
      <w:bookmarkEnd w:id="11"/>
      <w:bookmarkEnd w:id="12"/>
    </w:p>
    <w:p w14:paraId="19C9BA49">
      <w:pPr>
        <w:pStyle w:val="2"/>
        <w:spacing w:before="0" w:after="0" w:line="360" w:lineRule="auto"/>
        <w:ind w:firstLine="516" w:firstLineChars="246"/>
        <w:rPr>
          <w:rFonts w:hint="eastAsia" w:ascii="Times New Roman" w:hAnsi="宋体" w:eastAsia="宋体" w:cs="宋体"/>
          <w:color w:val="0000FF"/>
          <w:kern w:val="2"/>
          <w:sz w:val="21"/>
          <w:lang w:val="en-US" w:eastAsia="zh-CN" w:bidi="ar-SA"/>
        </w:rPr>
      </w:pPr>
      <w:bookmarkStart w:id="13" w:name="_Toc22145"/>
      <w:bookmarkStart w:id="14" w:name="_Toc6195"/>
      <w:r>
        <w:rPr>
          <w:rFonts w:hint="eastAsia" w:ascii="Times New Roman" w:hAnsi="宋体" w:eastAsia="宋体" w:cs="宋体"/>
          <w:kern w:val="2"/>
          <w:sz w:val="21"/>
          <w:lang w:val="en-US" w:eastAsia="zh-CN" w:bidi="ar-SA"/>
        </w:rPr>
        <w:t>2.本合同总价是货物（产品）</w:t>
      </w:r>
      <w:r>
        <w:rPr>
          <w:rFonts w:hint="eastAsia" w:ascii="仿宋" w:hAnsi="仿宋" w:eastAsia="仿宋" w:cs="仿宋"/>
          <w:color w:val="0000FF"/>
          <w:spacing w:val="-1"/>
          <w:sz w:val="24"/>
          <w:szCs w:val="24"/>
          <w:lang w:eastAsia="zh-CN"/>
        </w:rPr>
        <w:t>的设计、采购、制造、供货、标准附件、备品备件、易损件、工具、厂家赠品、原材料及生产制造、检验（包括海关、商检、技术监督局检验等）、包装、运输、管理费、运杂费、装卸费、手续费、生产、销售过程中的税费、合理利润及风险、安装、调试、维护、</w:t>
      </w:r>
      <w:r>
        <w:rPr>
          <w:rFonts w:hint="eastAsia" w:ascii="仿宋" w:hAnsi="仿宋" w:eastAsia="仿宋" w:cs="仿宋"/>
          <w:color w:val="0000FF"/>
          <w:spacing w:val="18"/>
          <w:sz w:val="24"/>
          <w:szCs w:val="24"/>
          <w:lang w:eastAsia="zh-CN"/>
        </w:rPr>
        <w:t xml:space="preserve"> </w:t>
      </w:r>
      <w:r>
        <w:rPr>
          <w:rFonts w:hint="eastAsia" w:ascii="仿宋" w:hAnsi="仿宋" w:eastAsia="仿宋" w:cs="仿宋"/>
          <w:color w:val="0000FF"/>
          <w:spacing w:val="-1"/>
          <w:sz w:val="24"/>
          <w:szCs w:val="24"/>
          <w:lang w:eastAsia="zh-CN"/>
        </w:rPr>
        <w:t>检测、验收（含第三方验收）、技术服务、培训、售后服务</w:t>
      </w:r>
      <w:bookmarkStart w:id="39" w:name="_GoBack"/>
      <w:bookmarkEnd w:id="39"/>
      <w:r>
        <w:rPr>
          <w:rFonts w:hint="eastAsia" w:ascii="仿宋" w:hAnsi="仿宋" w:eastAsia="仿宋" w:cs="仿宋"/>
          <w:color w:val="0000FF"/>
          <w:spacing w:val="-1"/>
          <w:sz w:val="24"/>
          <w:szCs w:val="24"/>
          <w:lang w:eastAsia="zh-CN"/>
        </w:rPr>
        <w:t>等一切费用，同时还应充分考虑</w:t>
      </w:r>
      <w:r>
        <w:rPr>
          <w:rFonts w:hint="eastAsia" w:ascii="仿宋" w:hAnsi="仿宋" w:eastAsia="仿宋" w:cs="仿宋"/>
          <w:color w:val="0000FF"/>
          <w:spacing w:val="-1"/>
          <w:sz w:val="24"/>
          <w:szCs w:val="24"/>
          <w:lang w:val="en-US" w:eastAsia="zh-CN"/>
        </w:rPr>
        <w:t>保修期内保修服务与备用物件等其他有关各项的含税费用。</w:t>
      </w:r>
      <w:bookmarkEnd w:id="13"/>
      <w:bookmarkEnd w:id="14"/>
    </w:p>
    <w:p w14:paraId="6328C8B7">
      <w:pPr>
        <w:pStyle w:val="2"/>
        <w:spacing w:before="0" w:after="0" w:line="360" w:lineRule="auto"/>
        <w:ind w:firstLine="516" w:firstLineChars="246"/>
        <w:rPr>
          <w:rFonts w:hint="eastAsia" w:ascii="Times New Roman" w:hAnsi="宋体" w:eastAsia="宋体" w:cs="宋体"/>
          <w:kern w:val="2"/>
          <w:sz w:val="21"/>
          <w:lang w:val="en-US" w:eastAsia="zh-CN" w:bidi="ar-SA"/>
        </w:rPr>
      </w:pPr>
      <w:bookmarkStart w:id="15" w:name="_Toc27556"/>
      <w:bookmarkStart w:id="16" w:name="_Toc5874"/>
      <w:r>
        <w:rPr>
          <w:rFonts w:hint="eastAsia" w:ascii="Times New Roman" w:hAnsi="宋体" w:eastAsia="宋体" w:cs="宋体"/>
          <w:kern w:val="2"/>
          <w:sz w:val="21"/>
          <w:lang w:val="en-US" w:eastAsia="zh-CN" w:bidi="ar-SA"/>
        </w:rPr>
        <w:t>3.本合同总价还包含乙方应当提供的伴随服务和售后服务费用。</w:t>
      </w:r>
      <w:bookmarkEnd w:id="15"/>
      <w:bookmarkEnd w:id="16"/>
    </w:p>
    <w:p w14:paraId="359EBAD6">
      <w:pPr>
        <w:pStyle w:val="2"/>
        <w:spacing w:before="0" w:after="0" w:line="360" w:lineRule="auto"/>
        <w:ind w:firstLine="516" w:firstLineChars="246"/>
        <w:rPr>
          <w:rFonts w:hint="eastAsia" w:ascii="Times New Roman" w:hAnsi="宋体" w:eastAsia="宋体" w:cs="宋体"/>
          <w:kern w:val="2"/>
          <w:sz w:val="21"/>
          <w:lang w:val="en-US" w:eastAsia="zh-CN" w:bidi="ar-SA"/>
        </w:rPr>
      </w:pPr>
      <w:bookmarkStart w:id="17" w:name="_Toc23843"/>
      <w:bookmarkStart w:id="18" w:name="_Toc26798"/>
      <w:r>
        <w:rPr>
          <w:rFonts w:hint="eastAsia" w:ascii="Times New Roman" w:hAnsi="宋体" w:eastAsia="宋体" w:cs="宋体"/>
          <w:kern w:val="2"/>
          <w:sz w:val="21"/>
          <w:lang w:val="en-US" w:eastAsia="zh-CN" w:bidi="ar-SA"/>
        </w:rPr>
        <w:t>4.本合同执行期间合同总价不变，甲方无须另向乙方支付本合同规定之外的其他任何费用。</w:t>
      </w:r>
      <w:bookmarkEnd w:id="17"/>
      <w:bookmarkEnd w:id="18"/>
    </w:p>
    <w:p w14:paraId="2B27685D">
      <w:pPr>
        <w:pStyle w:val="13"/>
        <w:spacing w:before="120" w:beforeLines="50" w:line="360" w:lineRule="auto"/>
        <w:ind w:firstLine="452" w:firstLineChars="150"/>
        <w:outlineLvl w:val="1"/>
        <w:rPr>
          <w:rFonts w:hint="eastAsia" w:ascii="宋体" w:hAnsi="宋体"/>
          <w:b/>
          <w:color w:val="auto"/>
          <w:sz w:val="30"/>
          <w:szCs w:val="30"/>
          <w:highlight w:val="none"/>
        </w:rPr>
      </w:pPr>
      <w:bookmarkStart w:id="19" w:name="_Toc21749"/>
      <w:bookmarkStart w:id="20" w:name="_Toc4203"/>
      <w:r>
        <w:rPr>
          <w:rFonts w:hint="eastAsia" w:ascii="宋体" w:hAnsi="宋体"/>
          <w:b/>
          <w:color w:val="auto"/>
          <w:sz w:val="30"/>
          <w:szCs w:val="30"/>
          <w:highlight w:val="none"/>
        </w:rPr>
        <w:t>第</w:t>
      </w:r>
      <w:r>
        <w:rPr>
          <w:rFonts w:hint="eastAsia" w:ascii="宋体" w:hAnsi="宋体"/>
          <w:b/>
          <w:color w:val="auto"/>
          <w:sz w:val="30"/>
          <w:szCs w:val="30"/>
          <w:highlight w:val="none"/>
          <w:lang w:val="en-US" w:eastAsia="zh-CN"/>
        </w:rPr>
        <w:t>五</w:t>
      </w:r>
      <w:r>
        <w:rPr>
          <w:rFonts w:hint="eastAsia" w:ascii="宋体" w:hAnsi="宋体"/>
          <w:b/>
          <w:color w:val="auto"/>
          <w:sz w:val="30"/>
          <w:szCs w:val="30"/>
          <w:highlight w:val="none"/>
        </w:rPr>
        <w:t>条 货款支付</w:t>
      </w:r>
      <w:bookmarkEnd w:id="19"/>
      <w:bookmarkEnd w:id="20"/>
    </w:p>
    <w:p w14:paraId="6F1024F4">
      <w:pPr>
        <w:pStyle w:val="13"/>
        <w:spacing w:line="360" w:lineRule="auto"/>
        <w:ind w:firstLine="525" w:firstLineChars="25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1.付款条件说明： 合同签订后 ，达到付款条件起 10 日内，支付合同总金额的60.00%；</w:t>
      </w:r>
    </w:p>
    <w:p w14:paraId="7438071D">
      <w:pPr>
        <w:pStyle w:val="13"/>
        <w:spacing w:line="360" w:lineRule="auto"/>
        <w:ind w:firstLine="525" w:firstLineChars="25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付款条件说明： 交货完成并验收合格后 ，达到付款条件起 10 日内，支付合同总金额的40.00%；</w:t>
      </w:r>
    </w:p>
    <w:p w14:paraId="68984C90">
      <w:pPr>
        <w:pStyle w:val="13"/>
        <w:spacing w:line="360" w:lineRule="auto"/>
        <w:ind w:firstLine="525" w:firstLineChars="250"/>
        <w:rPr>
          <w:rFonts w:hint="eastAsia" w:ascii="宋体" w:hAnsi="宋体"/>
          <w:color w:val="auto"/>
          <w:sz w:val="21"/>
          <w:szCs w:val="21"/>
          <w:highlight w:val="none"/>
        </w:rPr>
      </w:pPr>
      <w:r>
        <w:rPr>
          <w:rFonts w:hint="eastAsia" w:ascii="宋体" w:hAnsi="宋体"/>
          <w:color w:val="auto"/>
          <w:sz w:val="21"/>
          <w:szCs w:val="21"/>
          <w:highlight w:val="none"/>
        </w:rPr>
        <w:t>2.乙方须向甲方出具合法有效的完税发票，甲方进行支付结算。</w:t>
      </w:r>
    </w:p>
    <w:p w14:paraId="6058A1F4">
      <w:pPr>
        <w:pStyle w:val="13"/>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3.结算方式：银行转账。</w:t>
      </w:r>
    </w:p>
    <w:p w14:paraId="171020EF">
      <w:pPr>
        <w:pStyle w:val="13"/>
        <w:spacing w:before="120" w:beforeLines="50" w:after="120" w:afterLines="50" w:line="360" w:lineRule="auto"/>
        <w:outlineLvl w:val="1"/>
        <w:rPr>
          <w:rFonts w:hint="eastAsia" w:ascii="宋体" w:hAnsi="宋体"/>
          <w:b/>
          <w:color w:val="auto"/>
          <w:sz w:val="30"/>
          <w:szCs w:val="30"/>
          <w:highlight w:val="none"/>
        </w:rPr>
      </w:pPr>
      <w:bookmarkStart w:id="21" w:name="_Toc11136"/>
      <w:bookmarkStart w:id="22" w:name="_Toc28117"/>
      <w:r>
        <w:rPr>
          <w:rFonts w:hint="eastAsia" w:ascii="宋体" w:hAnsi="宋体"/>
          <w:b/>
          <w:color w:val="auto"/>
          <w:sz w:val="30"/>
          <w:szCs w:val="30"/>
          <w:highlight w:val="none"/>
        </w:rPr>
        <w:t>第</w:t>
      </w:r>
      <w:r>
        <w:rPr>
          <w:rFonts w:hint="eastAsia" w:ascii="宋体" w:hAnsi="宋体"/>
          <w:b/>
          <w:color w:val="auto"/>
          <w:sz w:val="30"/>
          <w:szCs w:val="30"/>
          <w:highlight w:val="none"/>
          <w:lang w:val="en-US" w:eastAsia="zh-CN"/>
        </w:rPr>
        <w:t>六</w:t>
      </w:r>
      <w:r>
        <w:rPr>
          <w:rFonts w:hint="eastAsia" w:ascii="宋体" w:hAnsi="宋体"/>
          <w:b/>
          <w:color w:val="auto"/>
          <w:sz w:val="30"/>
          <w:szCs w:val="30"/>
          <w:highlight w:val="none"/>
        </w:rPr>
        <w:t>条 交货时间与地点</w:t>
      </w:r>
      <w:bookmarkEnd w:id="21"/>
      <w:bookmarkEnd w:id="22"/>
    </w:p>
    <w:p w14:paraId="5B4ECB0A">
      <w:pPr>
        <w:pStyle w:val="13"/>
        <w:spacing w:line="360" w:lineRule="auto"/>
        <w:ind w:firstLine="561" w:firstLineChars="0"/>
        <w:rPr>
          <w:rFonts w:hint="eastAsia" w:ascii="宋体" w:hAnsi="宋体"/>
          <w:color w:val="auto"/>
          <w:sz w:val="21"/>
          <w:szCs w:val="21"/>
          <w:highlight w:val="none"/>
          <w:u w:val="none"/>
        </w:rPr>
      </w:pPr>
      <w:r>
        <w:rPr>
          <w:rFonts w:hint="eastAsia" w:ascii="宋体" w:hAnsi="宋体"/>
          <w:color w:val="auto"/>
          <w:sz w:val="21"/>
          <w:szCs w:val="21"/>
          <w:highlight w:val="none"/>
        </w:rPr>
        <w:t>1.交货时间（交货期）：</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lang w:val="en-US" w:eastAsia="zh-CN"/>
        </w:rPr>
        <w:t xml:space="preserve"> </w:t>
      </w:r>
      <w:r>
        <w:rPr>
          <w:rFonts w:hint="eastAsia"/>
          <w:color w:val="auto"/>
          <w:sz w:val="21"/>
          <w:szCs w:val="21"/>
          <w:highlight w:val="none"/>
          <w:u w:val="none"/>
          <w:lang w:val="zh-CN"/>
        </w:rPr>
        <w:t>。</w:t>
      </w:r>
    </w:p>
    <w:p w14:paraId="5659A2A7">
      <w:pPr>
        <w:pStyle w:val="13"/>
        <w:spacing w:line="360" w:lineRule="auto"/>
        <w:ind w:firstLine="561" w:firstLine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2.交货地</w:t>
      </w:r>
      <w:r>
        <w:rPr>
          <w:rFonts w:hint="eastAsia" w:ascii="宋体" w:hAnsi="宋体"/>
          <w:color w:val="auto"/>
          <w:sz w:val="21"/>
          <w:szCs w:val="21"/>
          <w:highlight w:val="none"/>
          <w:lang w:val="en-US" w:eastAsia="zh-CN"/>
        </w:rPr>
        <w:t>点和方式</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供应商运负责运送到</w:t>
      </w:r>
      <w:r>
        <w:rPr>
          <w:rFonts w:hint="eastAsia"/>
          <w:color w:val="auto"/>
          <w:sz w:val="21"/>
          <w:szCs w:val="21"/>
          <w:highlight w:val="none"/>
        </w:rPr>
        <w:t>采购人指定地点</w:t>
      </w:r>
      <w:r>
        <w:rPr>
          <w:rFonts w:hint="eastAsia"/>
          <w:color w:val="auto"/>
          <w:sz w:val="21"/>
          <w:szCs w:val="21"/>
          <w:highlight w:val="none"/>
          <w:lang w:eastAsia="zh-CN"/>
        </w:rPr>
        <w:t>。</w:t>
      </w:r>
    </w:p>
    <w:p w14:paraId="4F7BF247">
      <w:pPr>
        <w:pStyle w:val="13"/>
        <w:spacing w:before="120" w:beforeLines="50" w:after="120" w:afterLines="50" w:line="360" w:lineRule="auto"/>
        <w:outlineLvl w:val="1"/>
        <w:rPr>
          <w:rFonts w:hint="eastAsia" w:ascii="宋体" w:hAnsi="宋体" w:eastAsia="宋体" w:cs="宋体"/>
          <w:b/>
          <w:color w:val="auto"/>
          <w:sz w:val="30"/>
          <w:szCs w:val="30"/>
          <w:highlight w:val="none"/>
        </w:rPr>
      </w:pPr>
      <w:bookmarkStart w:id="23" w:name="_Toc1061"/>
      <w:bookmarkStart w:id="24" w:name="_Toc22096"/>
      <w:r>
        <w:rPr>
          <w:rFonts w:hint="eastAsia" w:ascii="宋体" w:hAnsi="宋体" w:eastAsia="宋体" w:cs="宋体"/>
          <w:b/>
          <w:color w:val="auto"/>
          <w:sz w:val="30"/>
          <w:szCs w:val="30"/>
          <w:highlight w:val="none"/>
        </w:rPr>
        <w:t>第</w:t>
      </w:r>
      <w:r>
        <w:rPr>
          <w:rFonts w:hint="eastAsia" w:ascii="宋体" w:hAnsi="宋体" w:eastAsia="宋体" w:cs="宋体"/>
          <w:b/>
          <w:color w:val="auto"/>
          <w:sz w:val="30"/>
          <w:szCs w:val="30"/>
          <w:highlight w:val="none"/>
          <w:lang w:val="en-US" w:eastAsia="zh-CN"/>
        </w:rPr>
        <w:t>七</w:t>
      </w:r>
      <w:r>
        <w:rPr>
          <w:rFonts w:hint="eastAsia" w:ascii="宋体" w:hAnsi="宋体" w:eastAsia="宋体" w:cs="宋体"/>
          <w:b/>
          <w:color w:val="auto"/>
          <w:sz w:val="30"/>
          <w:szCs w:val="30"/>
          <w:highlight w:val="none"/>
        </w:rPr>
        <w:t>条 质量保证</w:t>
      </w:r>
      <w:bookmarkEnd w:id="23"/>
      <w:bookmarkEnd w:id="24"/>
    </w:p>
    <w:p w14:paraId="7E53AF70">
      <w:pPr>
        <w:keepNext w:val="0"/>
        <w:keepLines w:val="0"/>
        <w:pageBreakBefore w:val="0"/>
        <w:widowControl w:val="0"/>
        <w:kinsoku/>
        <w:wordWrap/>
        <w:overflowPunct/>
        <w:topLinePunct w:val="0"/>
        <w:autoSpaceDE/>
        <w:autoSpaceDN/>
        <w:bidi w:val="0"/>
        <w:spacing w:line="520" w:lineRule="exact"/>
        <w:ind w:firstLine="420" w:firstLineChars="200"/>
        <w:textAlignment w:val="auto"/>
        <w:rPr>
          <w:rFonts w:hint="eastAsia" w:hAnsi="宋体" w:cs="宋体"/>
        </w:rPr>
      </w:pPr>
      <w:bookmarkStart w:id="25" w:name="_Toc28731"/>
      <w:bookmarkStart w:id="26" w:name="_Toc20794"/>
      <w:r>
        <w:rPr>
          <w:rFonts w:hint="eastAsia" w:hAnsi="宋体" w:cs="宋体"/>
          <w:szCs w:val="24"/>
        </w:rPr>
        <w:t>1、供应商</w:t>
      </w:r>
      <w:r>
        <w:rPr>
          <w:rFonts w:hint="eastAsia" w:hAnsi="宋体" w:cs="宋体"/>
        </w:rPr>
        <w:t>提供的</w:t>
      </w:r>
      <w:r>
        <w:rPr>
          <w:rFonts w:hint="eastAsia" w:hAnsi="宋体" w:cs="宋体"/>
          <w:szCs w:val="24"/>
          <w:lang w:val="en-US" w:eastAsia="zh-CN"/>
        </w:rPr>
        <w:t>车辆及配件</w:t>
      </w:r>
      <w:r>
        <w:rPr>
          <w:rFonts w:hint="eastAsia" w:hAnsi="宋体" w:cs="宋体"/>
        </w:rPr>
        <w:t>必须保证质量可靠，为市场最新或主流</w:t>
      </w:r>
      <w:r>
        <w:rPr>
          <w:rFonts w:hint="eastAsia" w:hAnsi="宋体" w:cs="宋体"/>
          <w:szCs w:val="24"/>
        </w:rPr>
        <w:t>产品</w:t>
      </w:r>
      <w:r>
        <w:rPr>
          <w:rFonts w:hint="eastAsia" w:hAnsi="宋体" w:cs="宋体"/>
        </w:rPr>
        <w:t>，进货渠道正常，配置合理齐全，应全面满足</w:t>
      </w:r>
      <w:r>
        <w:rPr>
          <w:rFonts w:hint="eastAsia" w:hAnsi="宋体" w:cs="宋体"/>
          <w:lang w:eastAsia="zh-CN"/>
        </w:rPr>
        <w:t>竞争性谈判文件</w:t>
      </w:r>
      <w:r>
        <w:rPr>
          <w:rFonts w:hint="eastAsia" w:hAnsi="宋体" w:cs="宋体"/>
        </w:rPr>
        <w:t>的要求，</w:t>
      </w:r>
      <w:r>
        <w:rPr>
          <w:rFonts w:hint="eastAsia" w:hAnsi="宋体" w:cs="宋体"/>
          <w:lang w:eastAsia="zh-CN"/>
        </w:rPr>
        <w:t>竞争性谈判文件</w:t>
      </w:r>
      <w:r>
        <w:rPr>
          <w:rFonts w:hint="eastAsia" w:hAnsi="宋体" w:cs="宋体"/>
        </w:rPr>
        <w:t>未明确要求的内容，供应商须按招标</w:t>
      </w:r>
      <w:r>
        <w:rPr>
          <w:rFonts w:hint="eastAsia" w:hAnsi="宋体" w:cs="宋体"/>
          <w:szCs w:val="24"/>
        </w:rPr>
        <w:t>产品</w:t>
      </w:r>
      <w:r>
        <w:rPr>
          <w:rFonts w:hint="eastAsia" w:hAnsi="宋体" w:cs="宋体"/>
        </w:rPr>
        <w:t>主流标准配置或以采购人的补充要求为准。所供产品质量应严格按国家最新发布的规范标准执行，如发生质量问题由供应商承担全部责任。</w:t>
      </w:r>
    </w:p>
    <w:p w14:paraId="707FF2EC">
      <w:pPr>
        <w:keepNext w:val="0"/>
        <w:keepLines w:val="0"/>
        <w:pageBreakBefore w:val="0"/>
        <w:widowControl w:val="0"/>
        <w:kinsoku/>
        <w:wordWrap/>
        <w:overflowPunct/>
        <w:topLinePunct w:val="0"/>
        <w:autoSpaceDE/>
        <w:autoSpaceDN/>
        <w:bidi w:val="0"/>
        <w:spacing w:line="520" w:lineRule="exact"/>
        <w:ind w:firstLine="420" w:firstLineChars="200"/>
        <w:textAlignment w:val="auto"/>
        <w:rPr>
          <w:rFonts w:hint="eastAsia" w:hAnsi="宋体" w:cs="宋体"/>
        </w:rPr>
      </w:pPr>
      <w:r>
        <w:rPr>
          <w:rFonts w:hint="eastAsia" w:hAnsi="宋体" w:cs="宋体"/>
          <w:szCs w:val="24"/>
        </w:rPr>
        <w:t>2、</w:t>
      </w:r>
      <w:r>
        <w:rPr>
          <w:rFonts w:hint="eastAsia" w:hAnsi="宋体" w:cs="宋体"/>
        </w:rPr>
        <w:t>采购人使用产品过程中因产品质量、产品缺陷及安装质量等造成人身伤亡、财产损失的，由供应商负责解决并承担全部责任。</w:t>
      </w:r>
    </w:p>
    <w:p w14:paraId="30973A36">
      <w:pPr>
        <w:keepNext w:val="0"/>
        <w:keepLines w:val="0"/>
        <w:pageBreakBefore w:val="0"/>
        <w:widowControl w:val="0"/>
        <w:tabs>
          <w:tab w:val="left" w:pos="1080"/>
        </w:tabs>
        <w:kinsoku/>
        <w:wordWrap/>
        <w:overflowPunct/>
        <w:topLinePunct w:val="0"/>
        <w:autoSpaceDE/>
        <w:autoSpaceDN/>
        <w:bidi w:val="0"/>
        <w:spacing w:line="360" w:lineRule="auto"/>
        <w:ind w:firstLine="420" w:firstLineChars="200"/>
        <w:textAlignment w:val="auto"/>
        <w:rPr>
          <w:rFonts w:hint="eastAsia" w:hAnsi="宋体" w:cs="宋体"/>
          <w:szCs w:val="24"/>
        </w:rPr>
      </w:pPr>
      <w:r>
        <w:rPr>
          <w:rFonts w:hint="eastAsia" w:hAnsi="宋体" w:cs="宋体"/>
          <w:szCs w:val="24"/>
        </w:rPr>
        <w:t>3、供应商应提供可承担维修职能的公司、全资分公司或办事处，并驻守多名维护技术人员，并提供地点、联系人（常驻工程师）及联系电话（服务热线），随时解答各种疑问（需提供相关证明材料）。</w:t>
      </w:r>
    </w:p>
    <w:p w14:paraId="429BD38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hAnsi="宋体" w:cs="宋体"/>
          <w:szCs w:val="24"/>
        </w:rPr>
      </w:pPr>
      <w:r>
        <w:rPr>
          <w:rFonts w:hint="eastAsia" w:hAnsi="宋体" w:cs="宋体"/>
          <w:szCs w:val="24"/>
        </w:rPr>
        <w:t>4、服务方式:现场服务，质保期内维修费用含在合同总价中（中标价格），提供终身维修。</w:t>
      </w:r>
    </w:p>
    <w:p w14:paraId="19B80627">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rPr>
      </w:pPr>
      <w:r>
        <w:rPr>
          <w:rFonts w:hint="eastAsia" w:hAnsi="宋体" w:cs="宋体"/>
          <w:szCs w:val="24"/>
        </w:rPr>
        <w:t>5、质保期内:对用户的维护维修要求保证在2小时内做出响应。接到用户维修要求后，售后服务技术人员24小时内到达维修现场，但不可抗力因素（自然及环境因素）除外。</w:t>
      </w:r>
    </w:p>
    <w:p w14:paraId="227E2A5F">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hAnsi="宋体" w:cs="宋体"/>
          <w:szCs w:val="24"/>
        </w:rPr>
      </w:pPr>
      <w:r>
        <w:rPr>
          <w:rFonts w:hint="eastAsia" w:hAnsi="宋体" w:cs="宋体"/>
          <w:szCs w:val="24"/>
        </w:rPr>
        <w:t>6、对于存在质量问题或者短少的产品，供应商应在接到采购人的通知2个日历日内负责修复，调换、重新制作或补齐。</w:t>
      </w:r>
    </w:p>
    <w:p w14:paraId="3C84F6DF">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cs="宋体"/>
          <w:szCs w:val="24"/>
        </w:rPr>
      </w:pPr>
      <w:r>
        <w:rPr>
          <w:rFonts w:hint="eastAsia" w:hAnsi="宋体" w:cs="宋体"/>
          <w:szCs w:val="24"/>
        </w:rPr>
        <w:t>7、供应商及所投产品的生产厂商应承诺质保期、维保期的售后服务条款（包括具体的服务内容、故障响应时间、响应方式、维修措施及时限、维护响应计划等方面），未提供任何质保期、维保期的售后服务条款或提供的内容不实的以不</w:t>
      </w:r>
      <w:r>
        <w:rPr>
          <w:rFonts w:hint="eastAsia" w:hAnsi="宋体" w:cs="宋体"/>
          <w:color w:val="000000"/>
          <w:szCs w:val="24"/>
        </w:rPr>
        <w:t>实质性满足</w:t>
      </w:r>
      <w:r>
        <w:rPr>
          <w:rFonts w:hint="eastAsia" w:hAnsi="宋体" w:cs="宋体"/>
          <w:color w:val="000000"/>
          <w:szCs w:val="24"/>
          <w:lang w:eastAsia="zh-CN"/>
        </w:rPr>
        <w:t>竞争性谈判文件</w:t>
      </w:r>
      <w:r>
        <w:rPr>
          <w:rFonts w:hint="eastAsia" w:hAnsi="宋体" w:cs="宋体"/>
          <w:color w:val="000000"/>
          <w:szCs w:val="24"/>
        </w:rPr>
        <w:t>要求对待。</w:t>
      </w:r>
    </w:p>
    <w:p w14:paraId="51849FD2">
      <w:pPr>
        <w:pStyle w:val="13"/>
        <w:spacing w:before="120" w:beforeLines="50" w:after="120" w:afterLines="50" w:line="360" w:lineRule="auto"/>
        <w:ind w:left="0" w:leftChars="0" w:firstLine="0" w:firstLineChars="0"/>
        <w:outlineLvl w:val="1"/>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w:t>
      </w:r>
      <w:r>
        <w:rPr>
          <w:rFonts w:hint="eastAsia" w:ascii="宋体" w:hAnsi="宋体" w:eastAsia="宋体" w:cs="宋体"/>
          <w:b/>
          <w:color w:val="auto"/>
          <w:sz w:val="30"/>
          <w:szCs w:val="30"/>
          <w:highlight w:val="none"/>
          <w:lang w:val="en-US" w:eastAsia="zh-CN"/>
        </w:rPr>
        <w:t>八</w:t>
      </w:r>
      <w:r>
        <w:rPr>
          <w:rFonts w:hint="eastAsia" w:ascii="宋体" w:hAnsi="宋体" w:eastAsia="宋体" w:cs="宋体"/>
          <w:b/>
          <w:color w:val="auto"/>
          <w:sz w:val="30"/>
          <w:szCs w:val="30"/>
          <w:highlight w:val="none"/>
        </w:rPr>
        <w:t xml:space="preserve">条 </w:t>
      </w:r>
      <w:bookmarkEnd w:id="25"/>
      <w:bookmarkEnd w:id="26"/>
      <w:bookmarkStart w:id="27" w:name="_Toc19836"/>
      <w:bookmarkStart w:id="28" w:name="_Toc31343"/>
      <w:r>
        <w:rPr>
          <w:rFonts w:hint="eastAsia" w:ascii="宋体" w:hAnsi="宋体" w:eastAsia="宋体" w:cs="宋体"/>
          <w:b/>
          <w:color w:val="auto"/>
          <w:sz w:val="30"/>
          <w:szCs w:val="30"/>
          <w:highlight w:val="none"/>
        </w:rPr>
        <w:t xml:space="preserve"> 验收</w:t>
      </w:r>
      <w:bookmarkEnd w:id="27"/>
      <w:bookmarkEnd w:id="28"/>
    </w:p>
    <w:p w14:paraId="4BD67B21">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210" w:leftChars="100" w:firstLine="420" w:firstLineChars="200"/>
        <w:textAlignment w:val="auto"/>
        <w:rPr>
          <w:rFonts w:hint="eastAsia" w:ascii="Times New Roman" w:hAnsi="宋体" w:eastAsia="宋体" w:cs="宋体"/>
          <w:kern w:val="2"/>
          <w:sz w:val="21"/>
          <w:szCs w:val="24"/>
          <w:lang w:val="en-US" w:eastAsia="zh-CN" w:bidi="ar-SA"/>
        </w:rPr>
      </w:pPr>
      <w:bookmarkStart w:id="29" w:name="_Toc5101"/>
      <w:bookmarkStart w:id="30" w:name="_Toc4278"/>
      <w:r>
        <w:rPr>
          <w:rFonts w:hint="eastAsia" w:ascii="Times New Roman" w:hAnsi="宋体" w:eastAsia="宋体" w:cs="宋体"/>
          <w:kern w:val="2"/>
          <w:sz w:val="21"/>
          <w:szCs w:val="24"/>
          <w:lang w:val="en-US" w:eastAsia="zh-CN" w:bidi="ar-SA"/>
        </w:rPr>
        <w:t>1、由采购人对项目进行整体验收，供应商协助配合。其内容包括确认产品的产地、规格、型号和数量，对其产品技术指标、性能参数、样式、颜色、以及质量是否达到现行国家有关验收规范“合格”标准、是否在规定时间内安装完毕、所有产品的配套包装是否完好无损等进行逐项检查。</w:t>
      </w:r>
    </w:p>
    <w:p w14:paraId="118C906F">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210" w:leftChars="100" w:firstLine="420" w:firstLineChars="200"/>
        <w:textAlignment w:val="auto"/>
        <w:rPr>
          <w:rFonts w:hint="eastAsia" w:ascii="Times New Roman" w:hAnsi="宋体" w:eastAsia="宋体" w:cs="宋体"/>
          <w:kern w:val="2"/>
          <w:sz w:val="21"/>
          <w:szCs w:val="24"/>
          <w:lang w:val="en-US" w:eastAsia="zh-CN" w:bidi="ar-SA"/>
        </w:rPr>
      </w:pPr>
      <w:r>
        <w:rPr>
          <w:rFonts w:hint="eastAsia" w:ascii="Times New Roman" w:hAnsi="宋体" w:eastAsia="宋体" w:cs="宋体"/>
          <w:kern w:val="2"/>
          <w:sz w:val="21"/>
          <w:szCs w:val="24"/>
          <w:lang w:val="en-US" w:eastAsia="zh-CN" w:bidi="ar-SA"/>
        </w:rPr>
        <w:t>2、所验产品的指标、性能参数最终验收达不到竞争性谈判文件要求和谈判响应文件承诺的，或在使用中发现采购人不能容忍的缺陷等，将视为产品验收不合格，供应商应在采购人要求的时间内无条件免费更换或退货。</w:t>
      </w:r>
    </w:p>
    <w:p w14:paraId="51C6E6A1">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210" w:leftChars="100" w:firstLine="420" w:firstLineChars="200"/>
        <w:textAlignment w:val="auto"/>
        <w:rPr>
          <w:rFonts w:hint="eastAsia" w:ascii="Times New Roman" w:hAnsi="宋体" w:eastAsia="宋体" w:cs="宋体"/>
          <w:kern w:val="2"/>
          <w:sz w:val="21"/>
          <w:szCs w:val="24"/>
          <w:lang w:val="en-US" w:eastAsia="zh-CN" w:bidi="ar-SA"/>
        </w:rPr>
      </w:pPr>
      <w:r>
        <w:rPr>
          <w:rFonts w:hint="eastAsia" w:ascii="Times New Roman" w:hAnsi="宋体" w:eastAsia="宋体" w:cs="宋体"/>
          <w:kern w:val="2"/>
          <w:sz w:val="21"/>
          <w:szCs w:val="24"/>
          <w:lang w:val="en-US" w:eastAsia="zh-CN" w:bidi="ar-SA"/>
        </w:rPr>
        <w:t>3、若发现供应商有弄虚作假的，在投标阶段故意或随意夸大产品技术性能，供应商应无条件退货，本合同解除，供应商赔偿采购人相应的损失。</w:t>
      </w:r>
    </w:p>
    <w:p w14:paraId="69FF2EAA">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210" w:leftChars="100" w:firstLine="420" w:firstLineChars="200"/>
        <w:textAlignment w:val="auto"/>
        <w:rPr>
          <w:rFonts w:hint="eastAsia" w:ascii="Times New Roman" w:hAnsi="宋体" w:eastAsia="宋体" w:cs="宋体"/>
          <w:kern w:val="2"/>
          <w:sz w:val="21"/>
          <w:szCs w:val="24"/>
          <w:lang w:val="en-US" w:eastAsia="zh-CN" w:bidi="ar-SA"/>
        </w:rPr>
      </w:pPr>
      <w:r>
        <w:rPr>
          <w:rFonts w:hint="eastAsia" w:ascii="Times New Roman" w:hAnsi="宋体" w:eastAsia="宋体" w:cs="宋体"/>
          <w:kern w:val="2"/>
          <w:sz w:val="21"/>
          <w:szCs w:val="24"/>
          <w:lang w:val="en-US" w:eastAsia="zh-CN" w:bidi="ar-SA"/>
        </w:rPr>
        <w:t>4、验收标准：按竞争性谈判文件、谈判响应文件及澄清函等技术指标进行验收。各项指标均应符合验收标准及要求。</w:t>
      </w:r>
    </w:p>
    <w:p w14:paraId="0A0F7997">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210" w:leftChars="100" w:firstLine="420" w:firstLineChars="200"/>
        <w:textAlignment w:val="auto"/>
        <w:rPr>
          <w:rFonts w:hint="eastAsia" w:ascii="Times New Roman" w:hAnsi="宋体" w:eastAsia="宋体" w:cs="宋体"/>
          <w:kern w:val="2"/>
          <w:sz w:val="21"/>
          <w:szCs w:val="24"/>
          <w:lang w:val="en-US" w:eastAsia="zh-CN" w:bidi="ar-SA"/>
        </w:rPr>
      </w:pPr>
      <w:r>
        <w:rPr>
          <w:rFonts w:hint="eastAsia" w:ascii="Times New Roman" w:hAnsi="宋体" w:eastAsia="宋体" w:cs="宋体"/>
          <w:kern w:val="2"/>
          <w:sz w:val="21"/>
          <w:szCs w:val="24"/>
          <w:lang w:val="en-US" w:eastAsia="zh-CN" w:bidi="ar-SA"/>
        </w:rPr>
        <w:t>5、验收合格后，填写验收单，双方签字生效。</w:t>
      </w:r>
    </w:p>
    <w:p w14:paraId="03B2533A">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210" w:leftChars="100" w:firstLine="420" w:firstLineChars="200"/>
        <w:textAlignment w:val="auto"/>
        <w:rPr>
          <w:rFonts w:hint="eastAsia" w:ascii="Times New Roman" w:hAnsi="宋体" w:eastAsia="宋体" w:cs="宋体"/>
          <w:kern w:val="2"/>
          <w:sz w:val="21"/>
          <w:szCs w:val="24"/>
          <w:lang w:val="en-US" w:eastAsia="zh-CN" w:bidi="ar-SA"/>
        </w:rPr>
      </w:pPr>
      <w:r>
        <w:rPr>
          <w:rFonts w:hint="eastAsia" w:ascii="Times New Roman" w:hAnsi="宋体" w:eastAsia="宋体" w:cs="宋体"/>
          <w:kern w:val="2"/>
          <w:sz w:val="21"/>
          <w:szCs w:val="24"/>
          <w:lang w:val="en-US" w:eastAsia="zh-CN" w:bidi="ar-SA"/>
        </w:rPr>
        <w:t>6、验收依据：</w:t>
      </w:r>
    </w:p>
    <w:p w14:paraId="10584F37">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210" w:leftChars="100" w:firstLine="420" w:firstLineChars="200"/>
        <w:textAlignment w:val="auto"/>
        <w:rPr>
          <w:rFonts w:hint="eastAsia" w:ascii="宋体" w:hAnsi="宋体" w:eastAsia="宋体" w:cs="宋体"/>
          <w:b w:val="0"/>
          <w:bCs w:val="0"/>
          <w:i w:val="0"/>
          <w:iCs w:val="0"/>
          <w:caps w:val="0"/>
          <w:color w:val="000000"/>
          <w:spacing w:val="0"/>
          <w:sz w:val="21"/>
          <w:szCs w:val="21"/>
        </w:rPr>
      </w:pPr>
      <w:r>
        <w:rPr>
          <w:rFonts w:hint="eastAsia" w:ascii="宋体" w:hAnsi="宋体" w:eastAsia="宋体" w:cs="宋体"/>
          <w:b w:val="0"/>
          <w:bCs w:val="0"/>
          <w:i w:val="0"/>
          <w:iCs w:val="0"/>
          <w:caps w:val="0"/>
          <w:color w:val="000000"/>
          <w:spacing w:val="0"/>
          <w:sz w:val="21"/>
          <w:szCs w:val="21"/>
        </w:rPr>
        <w:t>a)合同文本；</w:t>
      </w:r>
    </w:p>
    <w:p w14:paraId="141090DC">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210" w:leftChars="100" w:firstLine="420" w:firstLineChars="200"/>
        <w:textAlignment w:val="auto"/>
        <w:rPr>
          <w:rFonts w:hint="eastAsia" w:ascii="宋体" w:hAnsi="宋体" w:eastAsia="宋体" w:cs="宋体"/>
          <w:b w:val="0"/>
          <w:bCs w:val="0"/>
          <w:i w:val="0"/>
          <w:iCs w:val="0"/>
          <w:caps w:val="0"/>
          <w:color w:val="000000"/>
          <w:spacing w:val="0"/>
          <w:sz w:val="21"/>
          <w:szCs w:val="21"/>
        </w:rPr>
      </w:pPr>
      <w:r>
        <w:rPr>
          <w:rFonts w:hint="eastAsia" w:ascii="宋体" w:hAnsi="宋体" w:eastAsia="宋体" w:cs="宋体"/>
          <w:b w:val="0"/>
          <w:bCs w:val="0"/>
          <w:i w:val="0"/>
          <w:iCs w:val="0"/>
          <w:caps w:val="0"/>
          <w:color w:val="000000"/>
          <w:spacing w:val="0"/>
          <w:sz w:val="21"/>
          <w:szCs w:val="21"/>
        </w:rPr>
        <w:t>b)</w:t>
      </w:r>
      <w:r>
        <w:rPr>
          <w:rFonts w:hint="eastAsia" w:ascii="宋体" w:hAnsi="宋体" w:cs="宋体"/>
          <w:b w:val="0"/>
          <w:bCs w:val="0"/>
          <w:i w:val="0"/>
          <w:iCs w:val="0"/>
          <w:caps w:val="0"/>
          <w:color w:val="000000"/>
          <w:spacing w:val="0"/>
          <w:sz w:val="21"/>
          <w:szCs w:val="21"/>
          <w:lang w:eastAsia="zh-CN"/>
        </w:rPr>
        <w:t>谈判响应文件</w:t>
      </w:r>
      <w:r>
        <w:rPr>
          <w:rFonts w:hint="eastAsia" w:ascii="宋体" w:hAnsi="宋体" w:eastAsia="宋体" w:cs="宋体"/>
          <w:b w:val="0"/>
          <w:bCs w:val="0"/>
          <w:i w:val="0"/>
          <w:iCs w:val="0"/>
          <w:caps w:val="0"/>
          <w:color w:val="000000"/>
          <w:spacing w:val="0"/>
          <w:sz w:val="21"/>
          <w:szCs w:val="21"/>
        </w:rPr>
        <w:t>及澄清函、</w:t>
      </w:r>
      <w:r>
        <w:rPr>
          <w:rFonts w:hint="eastAsia" w:ascii="宋体" w:hAnsi="宋体" w:cs="宋体"/>
          <w:b w:val="0"/>
          <w:bCs w:val="0"/>
          <w:i w:val="0"/>
          <w:iCs w:val="0"/>
          <w:caps w:val="0"/>
          <w:color w:val="000000"/>
          <w:spacing w:val="0"/>
          <w:sz w:val="21"/>
          <w:szCs w:val="21"/>
          <w:lang w:eastAsia="zh-CN"/>
        </w:rPr>
        <w:t>竞争性谈判文件</w:t>
      </w:r>
      <w:r>
        <w:rPr>
          <w:rFonts w:hint="eastAsia" w:ascii="宋体" w:hAnsi="宋体" w:eastAsia="宋体" w:cs="宋体"/>
          <w:b w:val="0"/>
          <w:bCs w:val="0"/>
          <w:i w:val="0"/>
          <w:iCs w:val="0"/>
          <w:caps w:val="0"/>
          <w:color w:val="000000"/>
          <w:spacing w:val="0"/>
          <w:sz w:val="21"/>
          <w:szCs w:val="21"/>
        </w:rPr>
        <w:t>；</w:t>
      </w:r>
    </w:p>
    <w:p w14:paraId="6DB71197">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210" w:leftChars="100" w:firstLine="420" w:firstLineChars="200"/>
        <w:textAlignment w:val="auto"/>
        <w:rPr>
          <w:rFonts w:hint="eastAsia" w:ascii="宋体" w:hAnsi="宋体" w:eastAsia="宋体" w:cs="宋体"/>
          <w:b w:val="0"/>
          <w:bCs w:val="0"/>
          <w:i w:val="0"/>
          <w:iCs w:val="0"/>
          <w:caps w:val="0"/>
          <w:color w:val="000000"/>
          <w:spacing w:val="0"/>
          <w:sz w:val="21"/>
          <w:szCs w:val="21"/>
        </w:rPr>
      </w:pPr>
      <w:r>
        <w:rPr>
          <w:rFonts w:hint="eastAsia" w:ascii="宋体" w:hAnsi="宋体" w:eastAsia="宋体" w:cs="宋体"/>
          <w:b w:val="0"/>
          <w:bCs w:val="0"/>
          <w:i w:val="0"/>
          <w:iCs w:val="0"/>
          <w:caps w:val="0"/>
          <w:color w:val="000000"/>
          <w:spacing w:val="0"/>
          <w:sz w:val="21"/>
          <w:szCs w:val="21"/>
        </w:rPr>
        <w:t>c)国家和行业制定的相应的标准和规范；</w:t>
      </w:r>
    </w:p>
    <w:p w14:paraId="237EC357">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210" w:leftChars="100" w:firstLine="420" w:firstLineChars="200"/>
        <w:textAlignment w:val="auto"/>
        <w:rPr>
          <w:rFonts w:hint="eastAsia" w:ascii="宋体" w:hAnsi="宋体" w:eastAsia="宋体" w:cs="宋体"/>
          <w:b w:val="0"/>
          <w:bCs w:val="0"/>
          <w:i w:val="0"/>
          <w:iCs w:val="0"/>
          <w:caps w:val="0"/>
          <w:color w:val="000000"/>
          <w:spacing w:val="0"/>
          <w:sz w:val="21"/>
          <w:szCs w:val="21"/>
          <w:lang w:eastAsia="zh-CN"/>
        </w:rPr>
      </w:pPr>
      <w:r>
        <w:rPr>
          <w:rFonts w:hint="eastAsia" w:ascii="宋体" w:hAnsi="宋体" w:eastAsia="宋体" w:cs="宋体"/>
          <w:b w:val="0"/>
          <w:bCs w:val="0"/>
          <w:i w:val="0"/>
          <w:iCs w:val="0"/>
          <w:caps w:val="0"/>
          <w:color w:val="000000"/>
          <w:spacing w:val="0"/>
          <w:sz w:val="21"/>
          <w:szCs w:val="21"/>
        </w:rPr>
        <w:t>d)验收清单（注明各部件的品名、数量、规格型号和原产地或生产厂家）</w:t>
      </w:r>
      <w:r>
        <w:rPr>
          <w:rFonts w:hint="eastAsia" w:ascii="宋体" w:hAnsi="宋体" w:cs="宋体"/>
          <w:b w:val="0"/>
          <w:bCs w:val="0"/>
          <w:i w:val="0"/>
          <w:iCs w:val="0"/>
          <w:caps w:val="0"/>
          <w:color w:val="000000"/>
          <w:spacing w:val="0"/>
          <w:sz w:val="21"/>
          <w:szCs w:val="21"/>
          <w:lang w:eastAsia="zh-CN"/>
        </w:rPr>
        <w:t>。</w:t>
      </w:r>
    </w:p>
    <w:p w14:paraId="65B53718">
      <w:pPr>
        <w:pStyle w:val="13"/>
        <w:spacing w:before="120" w:beforeLines="50" w:after="120" w:afterLines="50" w:line="360" w:lineRule="auto"/>
        <w:ind w:left="0" w:leftChars="0" w:firstLine="0" w:firstLineChars="0"/>
        <w:outlineLvl w:val="1"/>
        <w:rPr>
          <w:rFonts w:hint="eastAsia" w:ascii="宋体" w:hAnsi="宋体"/>
          <w:b/>
          <w:color w:val="auto"/>
          <w:sz w:val="30"/>
          <w:szCs w:val="30"/>
          <w:highlight w:val="none"/>
        </w:rPr>
      </w:pPr>
      <w:r>
        <w:rPr>
          <w:rFonts w:hint="eastAsia" w:ascii="宋体" w:hAnsi="宋体"/>
          <w:b/>
          <w:color w:val="auto"/>
          <w:sz w:val="30"/>
          <w:szCs w:val="30"/>
          <w:highlight w:val="none"/>
        </w:rPr>
        <w:t>第</w:t>
      </w:r>
      <w:r>
        <w:rPr>
          <w:rFonts w:hint="eastAsia" w:ascii="宋体" w:hAnsi="宋体"/>
          <w:b/>
          <w:color w:val="auto"/>
          <w:sz w:val="30"/>
          <w:szCs w:val="30"/>
          <w:highlight w:val="none"/>
          <w:lang w:val="en-US" w:eastAsia="zh-CN"/>
        </w:rPr>
        <w:t>九</w:t>
      </w:r>
      <w:r>
        <w:rPr>
          <w:rFonts w:hint="eastAsia" w:ascii="宋体" w:hAnsi="宋体"/>
          <w:b/>
          <w:color w:val="auto"/>
          <w:sz w:val="30"/>
          <w:szCs w:val="30"/>
          <w:highlight w:val="none"/>
        </w:rPr>
        <w:t xml:space="preserve">条 </w:t>
      </w:r>
      <w:bookmarkEnd w:id="29"/>
      <w:bookmarkEnd w:id="30"/>
      <w:r>
        <w:rPr>
          <w:rFonts w:hint="eastAsia" w:ascii="宋体" w:hAnsi="宋体"/>
          <w:b/>
          <w:color w:val="auto"/>
          <w:sz w:val="30"/>
          <w:szCs w:val="30"/>
          <w:highlight w:val="none"/>
        </w:rPr>
        <w:t>技术支持</w:t>
      </w:r>
    </w:p>
    <w:p w14:paraId="1102514D">
      <w:pPr>
        <w:keepNext w:val="0"/>
        <w:keepLines w:val="0"/>
        <w:pageBreakBefore w:val="0"/>
        <w:widowControl w:val="0"/>
        <w:kinsoku/>
        <w:wordWrap/>
        <w:overflowPunct/>
        <w:topLinePunct w:val="0"/>
        <w:autoSpaceDE/>
        <w:autoSpaceDN/>
        <w:bidi w:val="0"/>
        <w:spacing w:line="520" w:lineRule="exact"/>
        <w:ind w:firstLine="420" w:firstLineChars="200"/>
        <w:textAlignment w:val="auto"/>
        <w:rPr>
          <w:rFonts w:hint="eastAsia" w:hAnsi="宋体" w:cs="宋体"/>
        </w:rPr>
      </w:pPr>
      <w:bookmarkStart w:id="31" w:name="_Toc24432"/>
      <w:bookmarkStart w:id="32" w:name="_Toc10753"/>
      <w:r>
        <w:rPr>
          <w:rFonts w:hint="eastAsia" w:hAnsi="宋体" w:cs="宋体"/>
          <w:lang w:val="en-US" w:eastAsia="zh-CN"/>
        </w:rPr>
        <w:t>1、提供</w:t>
      </w:r>
      <w:r>
        <w:rPr>
          <w:rFonts w:hint="eastAsia" w:hAnsi="宋体" w:cs="宋体"/>
        </w:rPr>
        <w:t>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7A5A589C">
      <w:pPr>
        <w:keepNext w:val="0"/>
        <w:keepLines w:val="0"/>
        <w:pageBreakBefore w:val="0"/>
        <w:widowControl w:val="0"/>
        <w:kinsoku/>
        <w:wordWrap/>
        <w:overflowPunct/>
        <w:topLinePunct w:val="0"/>
        <w:autoSpaceDE/>
        <w:autoSpaceDN/>
        <w:bidi w:val="0"/>
        <w:spacing w:line="520" w:lineRule="exact"/>
        <w:ind w:firstLine="420" w:firstLineChars="200"/>
        <w:textAlignment w:val="auto"/>
        <w:rPr>
          <w:rFonts w:hint="eastAsia" w:hAnsi="宋体" w:cs="宋体"/>
        </w:rPr>
      </w:pPr>
      <w:r>
        <w:rPr>
          <w:rFonts w:hint="eastAsia" w:hAnsi="宋体" w:cs="宋体"/>
          <w:lang w:val="en-US" w:eastAsia="zh-CN"/>
        </w:rPr>
        <w:t>2、</w:t>
      </w:r>
      <w:r>
        <w:rPr>
          <w:rFonts w:hint="eastAsia" w:hAnsi="宋体" w:cs="宋体"/>
        </w:rPr>
        <w:t>供应商在项目实施过程中，质量保障人员、资源不足或者执行不力，给项目质量带来的风险超出采购人认定的允许范围时，采购人可终止本项目的合作并进行索赔。</w:t>
      </w:r>
    </w:p>
    <w:p w14:paraId="12D2B4B5">
      <w:pPr>
        <w:spacing w:line="360" w:lineRule="auto"/>
        <w:rPr>
          <w:rFonts w:hint="eastAsia" w:ascii="宋体" w:hAnsi="宋体" w:eastAsia="宋体" w:cs="宋体"/>
          <w:b/>
          <w:color w:val="auto"/>
          <w:kern w:val="2"/>
          <w:sz w:val="30"/>
          <w:szCs w:val="30"/>
          <w:highlight w:val="none"/>
          <w:lang w:val="en-US" w:eastAsia="zh-CN" w:bidi="ar-SA"/>
        </w:rPr>
      </w:pPr>
      <w:r>
        <w:rPr>
          <w:rFonts w:hint="eastAsia" w:ascii="宋体" w:hAnsi="宋体" w:eastAsia="宋体" w:cs="宋体"/>
          <w:b/>
          <w:color w:val="auto"/>
          <w:kern w:val="2"/>
          <w:sz w:val="30"/>
          <w:szCs w:val="30"/>
          <w:highlight w:val="none"/>
          <w:lang w:val="en-US" w:eastAsia="zh-CN" w:bidi="ar-SA"/>
        </w:rPr>
        <w:t>第</w:t>
      </w:r>
      <w:r>
        <w:rPr>
          <w:rFonts w:hint="eastAsia" w:ascii="宋体" w:hAnsi="宋体" w:cs="宋体"/>
          <w:b/>
          <w:color w:val="auto"/>
          <w:kern w:val="2"/>
          <w:sz w:val="30"/>
          <w:szCs w:val="30"/>
          <w:highlight w:val="none"/>
          <w:lang w:val="en-US" w:eastAsia="zh-CN" w:bidi="ar-SA"/>
        </w:rPr>
        <w:t>十</w:t>
      </w:r>
      <w:r>
        <w:rPr>
          <w:rFonts w:hint="eastAsia" w:ascii="宋体" w:hAnsi="宋体" w:eastAsia="宋体" w:cs="宋体"/>
          <w:b/>
          <w:color w:val="auto"/>
          <w:kern w:val="2"/>
          <w:sz w:val="30"/>
          <w:szCs w:val="30"/>
          <w:highlight w:val="none"/>
          <w:lang w:val="en-US" w:eastAsia="zh-CN" w:bidi="ar-SA"/>
        </w:rPr>
        <w:t>条</w:t>
      </w:r>
      <w:r>
        <w:rPr>
          <w:rFonts w:hint="eastAsia" w:ascii="宋体" w:hAnsi="宋体" w:cs="宋体"/>
          <w:b/>
          <w:color w:val="auto"/>
          <w:kern w:val="2"/>
          <w:sz w:val="30"/>
          <w:szCs w:val="30"/>
          <w:highlight w:val="none"/>
          <w:lang w:val="en-US" w:eastAsia="zh-CN" w:bidi="ar-SA"/>
        </w:rPr>
        <w:t xml:space="preserve">  </w:t>
      </w:r>
      <w:r>
        <w:rPr>
          <w:rFonts w:hint="eastAsia" w:ascii="宋体" w:hAnsi="宋体" w:eastAsia="宋体" w:cs="宋体"/>
          <w:b/>
          <w:color w:val="auto"/>
          <w:kern w:val="2"/>
          <w:sz w:val="30"/>
          <w:szCs w:val="30"/>
          <w:highlight w:val="none"/>
          <w:lang w:val="en-US" w:eastAsia="zh-CN" w:bidi="ar-SA"/>
        </w:rPr>
        <w:t>技术资料要求</w:t>
      </w:r>
    </w:p>
    <w:p w14:paraId="2B46B0BC">
      <w:pPr>
        <w:pStyle w:val="7"/>
        <w:spacing w:line="360" w:lineRule="auto"/>
        <w:ind w:firstLine="420" w:firstLineChars="200"/>
        <w:rPr>
          <w:rFonts w:hint="eastAsia" w:ascii="Times New Roman" w:hAnsi="宋体" w:eastAsia="宋体" w:cs="宋体"/>
          <w:kern w:val="2"/>
          <w:sz w:val="21"/>
          <w:lang w:val="en-US" w:eastAsia="zh-CN" w:bidi="ar-SA"/>
        </w:rPr>
      </w:pPr>
      <w:r>
        <w:rPr>
          <w:rFonts w:hint="eastAsia" w:ascii="Times New Roman" w:hAnsi="宋体" w:eastAsia="宋体" w:cs="宋体"/>
          <w:kern w:val="2"/>
          <w:sz w:val="21"/>
          <w:lang w:val="en-US" w:eastAsia="zh-CN" w:bidi="ar-SA"/>
        </w:rPr>
        <w:t>供应商应向采购人提供全套中文技术资料一套，其费用包括在谈判价格中：</w:t>
      </w:r>
    </w:p>
    <w:p w14:paraId="29FD0B24">
      <w:pPr>
        <w:keepNext w:val="0"/>
        <w:keepLines w:val="0"/>
        <w:pageBreakBefore w:val="0"/>
        <w:widowControl w:val="0"/>
        <w:tabs>
          <w:tab w:val="left" w:pos="1080"/>
        </w:tabs>
        <w:kinsoku/>
        <w:wordWrap/>
        <w:overflowPunct/>
        <w:topLinePunct w:val="0"/>
        <w:autoSpaceDE/>
        <w:autoSpaceDN/>
        <w:bidi w:val="0"/>
        <w:spacing w:line="360" w:lineRule="auto"/>
        <w:ind w:firstLine="420" w:firstLineChars="200"/>
        <w:textAlignment w:val="auto"/>
        <w:rPr>
          <w:rFonts w:hint="eastAsia" w:hAnsi="宋体" w:cs="宋体"/>
          <w:szCs w:val="24"/>
        </w:rPr>
      </w:pPr>
      <w:r>
        <w:rPr>
          <w:rFonts w:hint="eastAsia" w:hAnsi="宋体" w:cs="宋体"/>
          <w:szCs w:val="24"/>
        </w:rPr>
        <w:t>1、完整的产品操作使用手册、说明书和维护、修理技术文件、保修卡等；</w:t>
      </w:r>
    </w:p>
    <w:p w14:paraId="1493310E">
      <w:pPr>
        <w:keepNext w:val="0"/>
        <w:keepLines w:val="0"/>
        <w:pageBreakBefore w:val="0"/>
        <w:widowControl w:val="0"/>
        <w:tabs>
          <w:tab w:val="left" w:pos="1080"/>
        </w:tabs>
        <w:kinsoku/>
        <w:wordWrap/>
        <w:overflowPunct/>
        <w:topLinePunct w:val="0"/>
        <w:autoSpaceDE/>
        <w:autoSpaceDN/>
        <w:bidi w:val="0"/>
        <w:spacing w:line="360" w:lineRule="auto"/>
        <w:ind w:firstLine="420" w:firstLineChars="200"/>
        <w:textAlignment w:val="auto"/>
        <w:rPr>
          <w:rFonts w:hint="eastAsia" w:hAnsi="宋体" w:cs="宋体"/>
          <w:szCs w:val="24"/>
        </w:rPr>
      </w:pPr>
      <w:r>
        <w:rPr>
          <w:rFonts w:hint="eastAsia" w:hAnsi="宋体" w:cs="宋体"/>
          <w:szCs w:val="24"/>
        </w:rPr>
        <w:t>2、制造厂的检验、测试报告、产品检验合格证书，质量保证书等文件验收时须一并提供；</w:t>
      </w:r>
    </w:p>
    <w:p w14:paraId="5C5C59EE">
      <w:pPr>
        <w:keepNext w:val="0"/>
        <w:keepLines w:val="0"/>
        <w:pageBreakBefore w:val="0"/>
        <w:widowControl w:val="0"/>
        <w:tabs>
          <w:tab w:val="left" w:pos="1080"/>
        </w:tabs>
        <w:kinsoku/>
        <w:wordWrap/>
        <w:overflowPunct/>
        <w:topLinePunct w:val="0"/>
        <w:autoSpaceDE/>
        <w:autoSpaceDN/>
        <w:bidi w:val="0"/>
        <w:spacing w:line="360" w:lineRule="auto"/>
        <w:ind w:firstLine="420" w:firstLineChars="200"/>
        <w:textAlignment w:val="auto"/>
        <w:rPr>
          <w:rFonts w:hint="eastAsia" w:hAnsi="宋体" w:cs="宋体"/>
          <w:szCs w:val="24"/>
        </w:rPr>
      </w:pPr>
      <w:r>
        <w:rPr>
          <w:rFonts w:hint="eastAsia" w:hAnsi="宋体" w:cs="宋体"/>
          <w:szCs w:val="24"/>
        </w:rPr>
        <w:t>3、产品验收标准；</w:t>
      </w:r>
    </w:p>
    <w:p w14:paraId="5168EBDA">
      <w:pPr>
        <w:keepNext w:val="0"/>
        <w:keepLines w:val="0"/>
        <w:pageBreakBefore w:val="0"/>
        <w:widowControl w:val="0"/>
        <w:tabs>
          <w:tab w:val="left" w:pos="1080"/>
        </w:tabs>
        <w:kinsoku/>
        <w:wordWrap/>
        <w:overflowPunct/>
        <w:topLinePunct w:val="0"/>
        <w:autoSpaceDE/>
        <w:autoSpaceDN/>
        <w:bidi w:val="0"/>
        <w:spacing w:line="360" w:lineRule="auto"/>
        <w:ind w:firstLine="420" w:firstLineChars="200"/>
        <w:textAlignment w:val="auto"/>
        <w:rPr>
          <w:rFonts w:hint="eastAsia" w:hAnsi="宋体" w:cs="宋体"/>
          <w:szCs w:val="24"/>
        </w:rPr>
      </w:pPr>
      <w:r>
        <w:rPr>
          <w:rFonts w:hint="eastAsia" w:hAnsi="宋体" w:cs="宋体"/>
          <w:szCs w:val="24"/>
        </w:rPr>
        <w:t>4、整体验收后提供验收报告；</w:t>
      </w:r>
    </w:p>
    <w:p w14:paraId="5709354C">
      <w:pPr>
        <w:keepNext w:val="0"/>
        <w:keepLines w:val="0"/>
        <w:pageBreakBefore w:val="0"/>
        <w:widowControl w:val="0"/>
        <w:tabs>
          <w:tab w:val="left" w:pos="1080"/>
        </w:tabs>
        <w:kinsoku/>
        <w:wordWrap/>
        <w:overflowPunct/>
        <w:topLinePunct w:val="0"/>
        <w:autoSpaceDE/>
        <w:autoSpaceDN/>
        <w:bidi w:val="0"/>
        <w:spacing w:line="360" w:lineRule="auto"/>
        <w:ind w:firstLine="420" w:firstLineChars="200"/>
        <w:textAlignment w:val="auto"/>
        <w:rPr>
          <w:rFonts w:hint="eastAsia" w:hAnsi="宋体" w:cs="宋体"/>
          <w:szCs w:val="24"/>
          <w:lang w:val="en-US" w:eastAsia="zh-CN"/>
        </w:rPr>
      </w:pPr>
      <w:r>
        <w:rPr>
          <w:rFonts w:hint="eastAsia" w:hAnsi="宋体" w:cs="宋体"/>
          <w:szCs w:val="24"/>
        </w:rPr>
        <w:t>5、合同中要求的其他文件资料。</w:t>
      </w:r>
    </w:p>
    <w:p w14:paraId="431D261A">
      <w:pPr>
        <w:pStyle w:val="13"/>
        <w:numPr>
          <w:ilvl w:val="0"/>
          <w:numId w:val="0"/>
        </w:numPr>
        <w:spacing w:before="120" w:beforeLines="50" w:after="120" w:afterLines="50" w:line="360" w:lineRule="auto"/>
        <w:outlineLvl w:val="1"/>
        <w:rPr>
          <w:rFonts w:hint="eastAsia" w:ascii="宋体" w:hAnsi="宋体"/>
          <w:color w:val="auto"/>
          <w:sz w:val="30"/>
          <w:szCs w:val="30"/>
          <w:highlight w:val="none"/>
        </w:rPr>
      </w:pPr>
      <w:r>
        <w:rPr>
          <w:rFonts w:hint="eastAsia" w:ascii="宋体" w:hAnsi="宋体"/>
          <w:b/>
          <w:color w:val="auto"/>
          <w:sz w:val="30"/>
          <w:szCs w:val="30"/>
          <w:highlight w:val="none"/>
        </w:rPr>
        <w:t>第</w:t>
      </w:r>
      <w:r>
        <w:rPr>
          <w:rFonts w:hint="eastAsia" w:ascii="宋体" w:hAnsi="宋体"/>
          <w:b/>
          <w:color w:val="auto"/>
          <w:sz w:val="30"/>
          <w:szCs w:val="30"/>
          <w:highlight w:val="none"/>
          <w:lang w:val="en-US" w:eastAsia="zh-CN"/>
        </w:rPr>
        <w:t>十一</w:t>
      </w:r>
      <w:r>
        <w:rPr>
          <w:rFonts w:hint="eastAsia" w:ascii="宋体" w:hAnsi="宋体"/>
          <w:b/>
          <w:color w:val="auto"/>
          <w:sz w:val="30"/>
          <w:szCs w:val="30"/>
          <w:highlight w:val="none"/>
        </w:rPr>
        <w:t>条 违约责任</w:t>
      </w:r>
      <w:bookmarkEnd w:id="31"/>
      <w:bookmarkEnd w:id="32"/>
    </w:p>
    <w:p w14:paraId="59467565">
      <w:pPr>
        <w:pStyle w:val="13"/>
        <w:spacing w:line="360" w:lineRule="auto"/>
        <w:ind w:firstLine="525" w:firstLineChars="250"/>
        <w:rPr>
          <w:rFonts w:hint="eastAsia" w:ascii="宋体" w:hAnsi="宋体"/>
          <w:color w:val="auto"/>
          <w:sz w:val="21"/>
          <w:szCs w:val="21"/>
          <w:highlight w:val="none"/>
        </w:rPr>
      </w:pPr>
      <w:r>
        <w:rPr>
          <w:rFonts w:hint="eastAsia" w:ascii="宋体" w:hAnsi="宋体"/>
          <w:color w:val="auto"/>
          <w:sz w:val="21"/>
          <w:szCs w:val="21"/>
          <w:highlight w:val="none"/>
        </w:rPr>
        <w:t>1.甲方违约责任</w:t>
      </w:r>
    </w:p>
    <w:p w14:paraId="70ECA82B">
      <w:pPr>
        <w:pStyle w:val="13"/>
        <w:spacing w:line="360" w:lineRule="auto"/>
        <w:ind w:firstLine="359" w:firstLineChars="171"/>
        <w:rPr>
          <w:rFonts w:hint="eastAsia" w:ascii="宋体" w:hAnsi="宋体"/>
          <w:color w:val="auto"/>
          <w:sz w:val="21"/>
          <w:szCs w:val="21"/>
          <w:highlight w:val="none"/>
        </w:rPr>
      </w:pPr>
      <w:r>
        <w:rPr>
          <w:rFonts w:hint="eastAsia" w:ascii="宋体" w:hAnsi="宋体"/>
          <w:color w:val="auto"/>
          <w:sz w:val="21"/>
          <w:szCs w:val="21"/>
          <w:highlight w:val="none"/>
        </w:rPr>
        <w:t>（1）甲方无正当理由拒收货物的，甲方应偿付合同总价</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%的违约金；</w:t>
      </w:r>
    </w:p>
    <w:p w14:paraId="689058DC">
      <w:pPr>
        <w:pStyle w:val="13"/>
        <w:spacing w:line="360" w:lineRule="auto"/>
        <w:ind w:firstLine="359" w:firstLineChars="171"/>
        <w:rPr>
          <w:rFonts w:hint="eastAsia" w:ascii="宋体" w:hAnsi="宋体"/>
          <w:color w:val="auto"/>
          <w:sz w:val="21"/>
          <w:szCs w:val="21"/>
          <w:highlight w:val="none"/>
        </w:rPr>
      </w:pPr>
      <w:r>
        <w:rPr>
          <w:rFonts w:hint="eastAsia" w:ascii="宋体" w:hAnsi="宋体"/>
          <w:color w:val="auto"/>
          <w:sz w:val="21"/>
          <w:szCs w:val="21"/>
          <w:highlight w:val="none"/>
        </w:rPr>
        <w:t>（2）甲方逾期支付货款的，除应及时付足货款外，应向乙方每天支付欠款总额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‰的滞纳金；但累计滞纳金总额不超过欠款总额的</w:t>
      </w:r>
      <w:r>
        <w:rPr>
          <w:rFonts w:hint="eastAsia" w:ascii="宋体" w:hAnsi="宋体"/>
          <w:color w:val="auto"/>
          <w:sz w:val="21"/>
          <w:szCs w:val="21"/>
          <w:highlight w:val="none"/>
          <w:lang w:val="en-US" w:eastAsia="zh-CN"/>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5E4CEB59">
      <w:pPr>
        <w:pStyle w:val="13"/>
        <w:spacing w:line="360" w:lineRule="auto"/>
        <w:ind w:firstLine="525" w:firstLineChars="250"/>
        <w:rPr>
          <w:rFonts w:hint="eastAsia" w:ascii="宋体" w:hAnsi="宋体"/>
          <w:color w:val="auto"/>
          <w:sz w:val="21"/>
          <w:szCs w:val="21"/>
          <w:highlight w:val="none"/>
        </w:rPr>
      </w:pPr>
      <w:r>
        <w:rPr>
          <w:rFonts w:hint="eastAsia" w:ascii="宋体" w:hAnsi="宋体"/>
          <w:color w:val="auto"/>
          <w:sz w:val="21"/>
          <w:szCs w:val="21"/>
          <w:highlight w:val="none"/>
        </w:rPr>
        <w:t>2.乙方违约责任</w:t>
      </w:r>
    </w:p>
    <w:p w14:paraId="356FF89B">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（1）如乙方不能交付货物</w:t>
      </w:r>
      <w:r>
        <w:rPr>
          <w:rFonts w:hint="eastAsia" w:ascii="宋体" w:hAnsi="宋体" w:cs="宋体"/>
          <w:color w:val="auto"/>
          <w:kern w:val="0"/>
          <w:szCs w:val="21"/>
          <w:highlight w:val="none"/>
          <w:lang w:val="en-US" w:eastAsia="zh-CN"/>
        </w:rPr>
        <w:t>或</w:t>
      </w:r>
      <w:r>
        <w:rPr>
          <w:rFonts w:hint="eastAsia" w:ascii="宋体" w:hAnsi="宋体" w:cs="宋体"/>
          <w:color w:val="auto"/>
          <w:kern w:val="0"/>
          <w:szCs w:val="21"/>
          <w:highlight w:val="none"/>
        </w:rPr>
        <w:t>逾期交付货物的，每逾期1天，乙方向甲方偿付逾期交货部分货款总额的</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‰的滞纳金。如乙方逾期交货达</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rPr>
        <w:t>天，甲方有权解除合同，解除合同的通知自到达乙方时生效；</w:t>
      </w:r>
    </w:p>
    <w:p w14:paraId="30C9826D">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 xml:space="preserve">）乙方所交付的货物品种、型号、规格不符合合同规定的，甲方有权拒收。甲方拒收的，乙方应向甲方支付货款总额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%的违约金；</w:t>
      </w:r>
    </w:p>
    <w:p w14:paraId="0DEDB924">
      <w:pPr>
        <w:pStyle w:val="13"/>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）乙方货物经甲方送交具有法定资格条件的质量技术监督机构检测后，如检测结果认定货物质量不符合本合同规定标准的，则视为乙方没有按时交货而违约，乙方须在</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天内无条件更换合格的货物，如逾期不能更换合格的货物，甲方有权终止本合同，乙方应另向甲方支付货款总额的</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%的违约金；</w:t>
      </w:r>
    </w:p>
    <w:p w14:paraId="4350BCF4">
      <w:pPr>
        <w:pStyle w:val="13"/>
        <w:spacing w:line="360" w:lineRule="auto"/>
        <w:ind w:firstLine="420"/>
        <w:rPr>
          <w:rFonts w:hint="eastAsia" w:ascii="宋体" w:hAnsi="宋体"/>
          <w:color w:val="auto"/>
          <w:kern w:val="0"/>
          <w:sz w:val="21"/>
          <w:szCs w:val="21"/>
          <w:highlight w:val="none"/>
        </w:rPr>
      </w:pPr>
      <w:r>
        <w:rPr>
          <w:rFonts w:hint="eastAsia" w:ascii="宋体" w:hAnsi="宋体"/>
          <w:color w:val="auto"/>
          <w:kern w:val="0"/>
          <w:sz w:val="21"/>
          <w:szCs w:val="21"/>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304A4E88">
      <w:pPr>
        <w:pStyle w:val="13"/>
        <w:spacing w:line="360" w:lineRule="auto"/>
        <w:ind w:firstLine="420"/>
        <w:rPr>
          <w:rFonts w:hint="eastAsia" w:ascii="宋体" w:hAnsi="宋体"/>
          <w:color w:val="auto"/>
          <w:kern w:val="0"/>
          <w:sz w:val="21"/>
          <w:szCs w:val="21"/>
          <w:highlight w:val="none"/>
        </w:rPr>
      </w:pPr>
      <w:r>
        <w:rPr>
          <w:rFonts w:hint="eastAsia" w:ascii="宋体" w:hAnsi="宋体"/>
          <w:color w:val="auto"/>
          <w:kern w:val="0"/>
          <w:sz w:val="21"/>
          <w:szCs w:val="21"/>
          <w:highlight w:val="none"/>
        </w:rPr>
        <w:t>（</w:t>
      </w:r>
      <w:r>
        <w:rPr>
          <w:rFonts w:hint="eastAsia" w:ascii="宋体" w:hAnsi="宋体"/>
          <w:color w:val="auto"/>
          <w:kern w:val="0"/>
          <w:sz w:val="21"/>
          <w:szCs w:val="21"/>
          <w:highlight w:val="none"/>
          <w:lang w:val="en-US" w:eastAsia="zh-CN"/>
        </w:rPr>
        <w:t>6</w:t>
      </w:r>
      <w:r>
        <w:rPr>
          <w:rFonts w:hint="eastAsia" w:ascii="宋体" w:hAnsi="宋体"/>
          <w:color w:val="auto"/>
          <w:kern w:val="0"/>
          <w:sz w:val="21"/>
          <w:szCs w:val="21"/>
          <w:highlight w:val="none"/>
        </w:rPr>
        <w:t>）乙方未按本合同的规定和“服务承诺”提供伴随服务/售后服务的，应按合同总价款的</w:t>
      </w:r>
      <w:r>
        <w:rPr>
          <w:rFonts w:hint="eastAsia" w:ascii="宋体" w:hAnsi="宋体"/>
          <w:color w:val="auto"/>
          <w:kern w:val="0"/>
          <w:sz w:val="21"/>
          <w:szCs w:val="21"/>
          <w:highlight w:val="none"/>
          <w:u w:val="single"/>
        </w:rPr>
        <w:t xml:space="preserve">  </w:t>
      </w:r>
      <w:r>
        <w:rPr>
          <w:rFonts w:hint="eastAsia" w:ascii="宋体" w:hAnsi="宋体"/>
          <w:color w:val="auto"/>
          <w:kern w:val="0"/>
          <w:sz w:val="21"/>
          <w:szCs w:val="21"/>
          <w:highlight w:val="none"/>
        </w:rPr>
        <w:t>%向甲方承担违约责任；</w:t>
      </w:r>
    </w:p>
    <w:p w14:paraId="0D67F7FC">
      <w:pPr>
        <w:widowControl/>
        <w:spacing w:before="120" w:beforeLines="50" w:after="120" w:afterLines="50" w:line="360" w:lineRule="auto"/>
        <w:jc w:val="left"/>
        <w:outlineLvl w:val="1"/>
        <w:rPr>
          <w:rFonts w:hint="eastAsia" w:ascii="宋体" w:hAnsi="宋体" w:cs="宋体"/>
          <w:color w:val="auto"/>
          <w:kern w:val="0"/>
          <w:sz w:val="30"/>
          <w:szCs w:val="30"/>
          <w:highlight w:val="none"/>
        </w:rPr>
      </w:pPr>
      <w:bookmarkStart w:id="33" w:name="_Toc31342"/>
      <w:bookmarkStart w:id="34" w:name="_Toc12233"/>
      <w:r>
        <w:rPr>
          <w:rFonts w:hint="eastAsia" w:ascii="宋体" w:hAnsi="宋体" w:cs="宋体"/>
          <w:b/>
          <w:color w:val="auto"/>
          <w:sz w:val="30"/>
          <w:szCs w:val="30"/>
          <w:highlight w:val="none"/>
        </w:rPr>
        <w:t>第十</w:t>
      </w:r>
      <w:r>
        <w:rPr>
          <w:rFonts w:hint="eastAsia" w:ascii="宋体" w:hAnsi="宋体" w:cs="宋体"/>
          <w:b/>
          <w:color w:val="auto"/>
          <w:sz w:val="30"/>
          <w:szCs w:val="30"/>
          <w:highlight w:val="none"/>
          <w:lang w:val="en-US" w:eastAsia="zh-CN"/>
        </w:rPr>
        <w:t>二</w:t>
      </w:r>
      <w:r>
        <w:rPr>
          <w:rFonts w:hint="eastAsia" w:ascii="宋体" w:hAnsi="宋体" w:cs="宋体"/>
          <w:b/>
          <w:color w:val="auto"/>
          <w:sz w:val="30"/>
          <w:szCs w:val="30"/>
          <w:highlight w:val="none"/>
        </w:rPr>
        <w:t xml:space="preserve">条 </w:t>
      </w:r>
      <w:r>
        <w:rPr>
          <w:rFonts w:hint="eastAsia" w:ascii="宋体" w:hAnsi="宋体" w:cs="宋体"/>
          <w:b/>
          <w:color w:val="auto"/>
          <w:kern w:val="0"/>
          <w:sz w:val="30"/>
          <w:szCs w:val="30"/>
          <w:highlight w:val="none"/>
        </w:rPr>
        <w:t>合同的变更和终止</w:t>
      </w:r>
      <w:bookmarkEnd w:id="33"/>
      <w:bookmarkEnd w:id="34"/>
    </w:p>
    <w:p w14:paraId="20417A0E">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除《中华人民共和国政府采购法》第49条、第50条第二款规定的情形外，本合同一经签订，甲乙双方不得擅自变更、中止或终止合同。</w:t>
      </w:r>
    </w:p>
    <w:p w14:paraId="12197C72">
      <w:pPr>
        <w:widowControl/>
        <w:spacing w:before="120" w:beforeLines="50" w:after="120" w:afterLines="50" w:line="360" w:lineRule="auto"/>
        <w:jc w:val="left"/>
        <w:outlineLvl w:val="1"/>
        <w:rPr>
          <w:rFonts w:hint="eastAsia" w:ascii="宋体" w:hAnsi="宋体" w:cs="宋体"/>
          <w:b/>
          <w:color w:val="auto"/>
          <w:kern w:val="0"/>
          <w:sz w:val="30"/>
          <w:szCs w:val="30"/>
          <w:highlight w:val="none"/>
        </w:rPr>
      </w:pPr>
      <w:bookmarkStart w:id="35" w:name="_Toc26531"/>
      <w:bookmarkStart w:id="36" w:name="_Toc31201"/>
      <w:r>
        <w:rPr>
          <w:rFonts w:hint="eastAsia" w:ascii="宋体" w:hAnsi="宋体" w:cs="宋体"/>
          <w:b/>
          <w:color w:val="auto"/>
          <w:kern w:val="0"/>
          <w:sz w:val="30"/>
          <w:szCs w:val="30"/>
          <w:highlight w:val="none"/>
        </w:rPr>
        <w:t>第十</w:t>
      </w:r>
      <w:r>
        <w:rPr>
          <w:rFonts w:hint="eastAsia" w:ascii="宋体" w:hAnsi="宋体" w:cs="宋体"/>
          <w:b/>
          <w:color w:val="auto"/>
          <w:kern w:val="0"/>
          <w:sz w:val="30"/>
          <w:szCs w:val="30"/>
          <w:highlight w:val="none"/>
          <w:lang w:val="en-US" w:eastAsia="zh-CN"/>
        </w:rPr>
        <w:t>三</w:t>
      </w:r>
      <w:r>
        <w:rPr>
          <w:rFonts w:hint="eastAsia" w:ascii="宋体" w:hAnsi="宋体" w:cs="宋体"/>
          <w:b/>
          <w:color w:val="auto"/>
          <w:kern w:val="0"/>
          <w:sz w:val="30"/>
          <w:szCs w:val="30"/>
          <w:highlight w:val="none"/>
        </w:rPr>
        <w:t>条 争议的解决</w:t>
      </w:r>
      <w:bookmarkEnd w:id="35"/>
      <w:bookmarkEnd w:id="36"/>
    </w:p>
    <w:p w14:paraId="7D4850AA">
      <w:pPr>
        <w:pStyle w:val="13"/>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1.因货物的质量问题发生争议，由质量技术监督部门或其指定的质量鉴定机构进行质量鉴定。货物符合标准的，鉴定费由甲方承担；货物不符合质量标准的，鉴定费由乙方承担。</w:t>
      </w:r>
    </w:p>
    <w:p w14:paraId="62FF03C6">
      <w:pPr>
        <w:pStyle w:val="13"/>
        <w:spacing w:line="360" w:lineRule="auto"/>
        <w:ind w:firstLine="420"/>
        <w:rPr>
          <w:rFonts w:hint="eastAsia" w:ascii="宋体" w:hAnsi="宋体"/>
          <w:color w:val="auto"/>
          <w:kern w:val="0"/>
          <w:sz w:val="21"/>
          <w:szCs w:val="21"/>
          <w:highlight w:val="none"/>
        </w:rPr>
      </w:pPr>
      <w:r>
        <w:rPr>
          <w:rFonts w:hint="eastAsia" w:ascii="宋体" w:hAnsi="宋体"/>
          <w:color w:val="auto"/>
          <w:kern w:val="0"/>
          <w:sz w:val="21"/>
          <w:szCs w:val="21"/>
          <w:highlight w:val="none"/>
        </w:rPr>
        <w:t>2.因履行本合同引起的或与本合同有关的争议，甲、乙双方应首先通过友好协商解决，如果协商不成，则采取以下第</w:t>
      </w:r>
      <w:r>
        <w:rPr>
          <w:rFonts w:hint="eastAsia" w:ascii="宋体" w:hAnsi="宋体"/>
          <w:color w:val="auto"/>
          <w:kern w:val="0"/>
          <w:sz w:val="21"/>
          <w:szCs w:val="21"/>
          <w:highlight w:val="none"/>
          <w:u w:val="single"/>
          <w:lang w:val="en-US" w:eastAsia="zh-CN"/>
        </w:rPr>
        <w:t xml:space="preserve">  </w:t>
      </w:r>
      <w:r>
        <w:rPr>
          <w:rFonts w:hint="eastAsia" w:ascii="宋体" w:hAnsi="宋体"/>
          <w:color w:val="auto"/>
          <w:kern w:val="0"/>
          <w:sz w:val="21"/>
          <w:szCs w:val="21"/>
          <w:highlight w:val="none"/>
          <w:u w:val="single"/>
        </w:rPr>
        <w:t>2</w:t>
      </w:r>
      <w:r>
        <w:rPr>
          <w:rFonts w:hint="eastAsia" w:ascii="宋体" w:hAnsi="宋体"/>
          <w:color w:val="auto"/>
          <w:kern w:val="0"/>
          <w:sz w:val="21"/>
          <w:szCs w:val="21"/>
          <w:highlight w:val="none"/>
          <w:u w:val="single"/>
          <w:lang w:val="en-US" w:eastAsia="zh-CN"/>
        </w:rPr>
        <w:t xml:space="preserve">  </w:t>
      </w:r>
      <w:r>
        <w:rPr>
          <w:rFonts w:hint="eastAsia" w:ascii="宋体" w:hAnsi="宋体"/>
          <w:color w:val="auto"/>
          <w:kern w:val="0"/>
          <w:sz w:val="21"/>
          <w:szCs w:val="21"/>
          <w:highlight w:val="none"/>
        </w:rPr>
        <w:t>种方式解决争议：</w:t>
      </w:r>
    </w:p>
    <w:p w14:paraId="25D25261">
      <w:pPr>
        <w:pStyle w:val="13"/>
        <w:spacing w:line="360" w:lineRule="auto"/>
        <w:ind w:firstLine="420"/>
        <w:rPr>
          <w:rFonts w:hint="eastAsia" w:ascii="宋体" w:hAnsi="宋体"/>
          <w:color w:val="auto"/>
          <w:kern w:val="0"/>
          <w:sz w:val="21"/>
          <w:szCs w:val="21"/>
          <w:highlight w:val="none"/>
        </w:rPr>
      </w:pPr>
      <w:r>
        <w:rPr>
          <w:rFonts w:hint="eastAsia" w:ascii="宋体" w:hAnsi="宋体"/>
          <w:color w:val="auto"/>
          <w:kern w:val="0"/>
          <w:sz w:val="21"/>
          <w:szCs w:val="21"/>
          <w:highlight w:val="none"/>
        </w:rPr>
        <w:t>（1）向甲方所在地有管辖权的人民法院提起诉讼；</w:t>
      </w:r>
    </w:p>
    <w:p w14:paraId="55A17807">
      <w:pPr>
        <w:pStyle w:val="13"/>
        <w:spacing w:line="360" w:lineRule="auto"/>
        <w:ind w:firstLine="420"/>
        <w:rPr>
          <w:rFonts w:hint="eastAsia" w:ascii="宋体" w:hAnsi="宋体"/>
          <w:color w:val="auto"/>
          <w:kern w:val="0"/>
          <w:sz w:val="21"/>
          <w:szCs w:val="21"/>
          <w:highlight w:val="none"/>
        </w:rPr>
      </w:pPr>
      <w:r>
        <w:rPr>
          <w:rFonts w:hint="eastAsia" w:ascii="宋体" w:hAnsi="宋体"/>
          <w:color w:val="auto"/>
          <w:kern w:val="0"/>
          <w:sz w:val="21"/>
          <w:szCs w:val="21"/>
          <w:highlight w:val="none"/>
        </w:rPr>
        <w:t>（2）向</w:t>
      </w:r>
      <w:r>
        <w:rPr>
          <w:rFonts w:hint="eastAsia" w:ascii="宋体" w:hAnsi="宋体"/>
          <w:color w:val="auto"/>
          <w:kern w:val="0"/>
          <w:sz w:val="21"/>
          <w:szCs w:val="21"/>
          <w:highlight w:val="none"/>
          <w:u w:val="single"/>
          <w:lang w:val="en-US" w:eastAsia="zh-CN"/>
        </w:rPr>
        <w:t xml:space="preserve">  </w:t>
      </w:r>
      <w:r>
        <w:rPr>
          <w:rFonts w:hint="eastAsia" w:ascii="宋体" w:hAnsi="宋体"/>
          <w:color w:val="auto"/>
          <w:kern w:val="0"/>
          <w:sz w:val="21"/>
          <w:szCs w:val="21"/>
          <w:highlight w:val="none"/>
          <w:u w:val="single"/>
        </w:rPr>
        <w:t>西安</w:t>
      </w:r>
      <w:r>
        <w:rPr>
          <w:rFonts w:hint="eastAsia" w:ascii="宋体" w:hAnsi="宋体"/>
          <w:color w:val="auto"/>
          <w:kern w:val="0"/>
          <w:sz w:val="21"/>
          <w:szCs w:val="21"/>
          <w:highlight w:val="none"/>
          <w:u w:val="single"/>
          <w:lang w:val="en-US" w:eastAsia="zh-CN"/>
        </w:rPr>
        <w:t xml:space="preserve">  </w:t>
      </w:r>
      <w:r>
        <w:rPr>
          <w:rFonts w:hint="eastAsia" w:ascii="宋体" w:hAnsi="宋体"/>
          <w:color w:val="auto"/>
          <w:kern w:val="0"/>
          <w:sz w:val="21"/>
          <w:szCs w:val="21"/>
          <w:highlight w:val="none"/>
        </w:rPr>
        <w:t>仲裁委员会按其仲裁规则申请仲裁。</w:t>
      </w:r>
    </w:p>
    <w:p w14:paraId="5D95D3EF">
      <w:pPr>
        <w:pStyle w:val="13"/>
        <w:spacing w:line="360" w:lineRule="auto"/>
        <w:ind w:firstLine="420"/>
        <w:rPr>
          <w:rFonts w:hint="eastAsia" w:ascii="宋体" w:hAnsi="宋体"/>
          <w:color w:val="auto"/>
          <w:kern w:val="0"/>
          <w:sz w:val="21"/>
          <w:szCs w:val="21"/>
          <w:highlight w:val="none"/>
        </w:rPr>
      </w:pPr>
      <w:r>
        <w:rPr>
          <w:rFonts w:hint="eastAsia" w:ascii="宋体" w:hAnsi="宋体"/>
          <w:color w:val="auto"/>
          <w:kern w:val="0"/>
          <w:sz w:val="21"/>
          <w:szCs w:val="21"/>
          <w:highlight w:val="none"/>
        </w:rPr>
        <w:t>3.在仲裁期间，本合同应继续履行。</w:t>
      </w:r>
    </w:p>
    <w:p w14:paraId="6FA81729">
      <w:pPr>
        <w:pStyle w:val="4"/>
        <w:numPr>
          <w:ilvl w:val="0"/>
          <w:numId w:val="1"/>
        </w:numPr>
        <w:rPr>
          <w:rFonts w:hint="eastAsia" w:ascii="宋体" w:hAnsi="宋体" w:cs="宋体"/>
          <w:b/>
          <w:color w:val="auto"/>
          <w:kern w:val="0"/>
          <w:sz w:val="30"/>
          <w:szCs w:val="30"/>
          <w:highlight w:val="none"/>
        </w:rPr>
      </w:pPr>
      <w:bookmarkStart w:id="37" w:name="_Toc10122"/>
      <w:bookmarkStart w:id="38" w:name="_Toc6947"/>
      <w:r>
        <w:rPr>
          <w:rFonts w:hint="eastAsia" w:ascii="宋体" w:hAnsi="宋体" w:cs="宋体"/>
          <w:b/>
          <w:color w:val="auto"/>
          <w:kern w:val="0"/>
          <w:sz w:val="30"/>
          <w:szCs w:val="30"/>
          <w:highlight w:val="none"/>
        </w:rPr>
        <w:t>合同生效及其他</w:t>
      </w:r>
      <w:bookmarkEnd w:id="37"/>
      <w:bookmarkEnd w:id="38"/>
    </w:p>
    <w:p w14:paraId="530F2221">
      <w:pPr>
        <w:pStyle w:val="4"/>
        <w:numPr>
          <w:ilvl w:val="0"/>
          <w:numId w:val="0"/>
        </w:numPr>
        <w:rPr>
          <w:rFonts w:hint="eastAsia" w:ascii="宋体" w:hAnsi="宋体" w:cs="宋体"/>
          <w:b/>
          <w:color w:val="auto"/>
          <w:kern w:val="0"/>
          <w:sz w:val="30"/>
          <w:szCs w:val="30"/>
          <w:highlight w:val="none"/>
        </w:rPr>
      </w:pPr>
    </w:p>
    <w:p w14:paraId="7A15C1FE">
      <w:pPr>
        <w:snapToGrid w:val="0"/>
        <w:spacing w:line="360" w:lineRule="auto"/>
        <w:ind w:firstLine="539"/>
        <w:rPr>
          <w:rFonts w:hint="eastAsia" w:ascii="宋体" w:hAnsi="宋体" w:cs="宋体"/>
          <w:color w:val="auto"/>
          <w:szCs w:val="21"/>
          <w:highlight w:val="none"/>
        </w:rPr>
      </w:pPr>
      <w:r>
        <w:rPr>
          <w:rFonts w:hint="eastAsia" w:ascii="宋体" w:hAnsi="宋体" w:cs="宋体"/>
          <w:color w:val="auto"/>
          <w:kern w:val="0"/>
          <w:szCs w:val="21"/>
          <w:highlight w:val="none"/>
        </w:rPr>
        <w:t>1.</w:t>
      </w:r>
      <w:r>
        <w:rPr>
          <w:rFonts w:hint="eastAsia" w:ascii="宋体" w:hAnsi="宋体" w:cs="宋体"/>
          <w:color w:val="auto"/>
          <w:szCs w:val="21"/>
          <w:highlight w:val="none"/>
        </w:rPr>
        <w:t>如有未尽事宜，由双方依法订立补充合同。</w:t>
      </w:r>
    </w:p>
    <w:p w14:paraId="5DEA7E35">
      <w:pPr>
        <w:snapToGrid w:val="0"/>
        <w:spacing w:line="360" w:lineRule="auto"/>
        <w:ind w:firstLine="539"/>
        <w:rPr>
          <w:rFonts w:hint="eastAsia" w:ascii="宋体" w:hAnsi="宋体" w:cs="宋体"/>
          <w:color w:val="auto"/>
          <w:kern w:val="0"/>
          <w:szCs w:val="21"/>
          <w:highlight w:val="none"/>
        </w:rPr>
      </w:pPr>
      <w:r>
        <w:rPr>
          <w:rFonts w:hint="eastAsia" w:ascii="宋体" w:hAnsi="宋体" w:cs="宋体"/>
          <w:color w:val="auto"/>
          <w:kern w:val="0"/>
          <w:szCs w:val="21"/>
          <w:highlight w:val="none"/>
        </w:rPr>
        <w:t>2.本合同自签订之日起生效。</w:t>
      </w:r>
    </w:p>
    <w:p w14:paraId="09AAB228">
      <w:pPr>
        <w:snapToGrid w:val="0"/>
        <w:spacing w:line="360" w:lineRule="auto"/>
        <w:ind w:firstLine="539"/>
        <w:rPr>
          <w:rFonts w:hint="eastAsia" w:ascii="宋体" w:hAnsi="宋体" w:cs="宋体"/>
          <w:color w:val="auto"/>
          <w:szCs w:val="21"/>
          <w:highlight w:val="none"/>
        </w:rPr>
      </w:pPr>
      <w:r>
        <w:rPr>
          <w:rFonts w:hint="eastAsia" w:ascii="宋体" w:hAnsi="宋体" w:cs="宋体"/>
          <w:color w:val="auto"/>
          <w:kern w:val="0"/>
          <w:szCs w:val="21"/>
          <w:highlight w:val="none"/>
        </w:rPr>
        <w:t>3.本合同一式</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rPr>
        <w:t>份，具有同等法律效力，其中，甲</w:t>
      </w:r>
      <w:r>
        <w:rPr>
          <w:rFonts w:hint="eastAsia" w:ascii="宋体" w:hAnsi="宋体" w:cs="宋体"/>
          <w:color w:val="auto"/>
          <w:kern w:val="0"/>
          <w:szCs w:val="21"/>
          <w:highlight w:val="none"/>
          <w:lang w:val="en-US" w:eastAsia="zh-CN"/>
        </w:rPr>
        <w:t>方</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rPr>
        <w:t>_份，乙方</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份</w:t>
      </w:r>
    </w:p>
    <w:p w14:paraId="7EF4915A">
      <w:pPr>
        <w:spacing w:before="120" w:beforeLines="50" w:after="120" w:afterLines="50" w:line="360" w:lineRule="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（以下无正文）</w:t>
      </w:r>
    </w:p>
    <w:p w14:paraId="30A41E12">
      <w:pPr>
        <w:keepNext w:val="0"/>
        <w:keepLines w:val="0"/>
        <w:pageBreakBefore w:val="0"/>
        <w:kinsoku/>
        <w:wordWrap/>
        <w:overflowPunct/>
        <w:topLinePunct w:val="0"/>
        <w:autoSpaceDE/>
        <w:autoSpaceDN/>
        <w:bidi w:val="0"/>
        <w:adjustRightInd/>
        <w:snapToGrid/>
        <w:spacing w:before="120" w:beforeLines="50" w:after="120" w:afterLines="50" w:line="360" w:lineRule="auto"/>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甲方：   （盖章）   </w:t>
      </w:r>
      <w:r>
        <w:rPr>
          <w:rFonts w:hint="eastAsia" w:ascii="宋体" w:hAnsi="宋体" w:cs="宋体"/>
          <w:color w:val="auto"/>
          <w:szCs w:val="21"/>
          <w:highlight w:val="none"/>
        </w:rPr>
        <w:tab/>
      </w:r>
      <w:r>
        <w:rPr>
          <w:rFonts w:hint="eastAsia" w:ascii="宋体" w:hAnsi="宋体" w:cs="宋体"/>
          <w:color w:val="auto"/>
          <w:szCs w:val="21"/>
          <w:highlight w:val="none"/>
        </w:rPr>
        <w:tab/>
      </w:r>
      <w:r>
        <w:rPr>
          <w:rFonts w:hint="eastAsia" w:ascii="宋体" w:hAnsi="宋体" w:cs="宋体"/>
          <w:color w:val="auto"/>
          <w:szCs w:val="21"/>
          <w:highlight w:val="none"/>
        </w:rPr>
        <w:tab/>
      </w:r>
      <w:r>
        <w:rPr>
          <w:rFonts w:hint="eastAsia" w:ascii="宋体" w:hAnsi="宋体" w:cs="宋体"/>
          <w:color w:val="auto"/>
          <w:szCs w:val="21"/>
          <w:highlight w:val="none"/>
        </w:rPr>
        <w:t xml:space="preserve">    乙方：   （盖章）</w:t>
      </w:r>
    </w:p>
    <w:p w14:paraId="2B8D6058">
      <w:pPr>
        <w:keepNext w:val="0"/>
        <w:keepLines w:val="0"/>
        <w:pageBreakBefore w:val="0"/>
        <w:kinsoku/>
        <w:wordWrap/>
        <w:overflowPunct/>
        <w:topLinePunct w:val="0"/>
        <w:autoSpaceDE/>
        <w:autoSpaceDN/>
        <w:bidi w:val="0"/>
        <w:adjustRightInd/>
        <w:snapToGrid/>
        <w:spacing w:before="120" w:beforeLines="50" w:after="120" w:afterLines="50" w:line="360" w:lineRule="auto"/>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负责人/委托代理人：                 法定代表人/委托代理人：</w:t>
      </w:r>
    </w:p>
    <w:p w14:paraId="3CAE5A4C">
      <w:pPr>
        <w:keepNext w:val="0"/>
        <w:keepLines w:val="0"/>
        <w:pageBreakBefore w:val="0"/>
        <w:kinsoku/>
        <w:wordWrap/>
        <w:overflowPunct/>
        <w:topLinePunct w:val="0"/>
        <w:autoSpaceDE/>
        <w:autoSpaceDN/>
        <w:bidi w:val="0"/>
        <w:adjustRightInd/>
        <w:snapToGrid/>
        <w:spacing w:before="120" w:beforeLines="50" w:after="120" w:afterLines="50" w:line="360" w:lineRule="auto"/>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地    址：                          地    址：</w:t>
      </w:r>
    </w:p>
    <w:p w14:paraId="4C553244">
      <w:pPr>
        <w:keepNext w:val="0"/>
        <w:keepLines w:val="0"/>
        <w:pageBreakBefore w:val="0"/>
        <w:kinsoku/>
        <w:wordWrap/>
        <w:overflowPunct/>
        <w:topLinePunct w:val="0"/>
        <w:autoSpaceDE/>
        <w:autoSpaceDN/>
        <w:bidi w:val="0"/>
        <w:adjustRightInd/>
        <w:snapToGrid/>
        <w:spacing w:before="120" w:beforeLines="50" w:after="120" w:afterLines="50" w:line="360" w:lineRule="auto"/>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开户银行：                          开户银行：</w:t>
      </w:r>
    </w:p>
    <w:p w14:paraId="7C80176C">
      <w:pPr>
        <w:keepNext w:val="0"/>
        <w:keepLines w:val="0"/>
        <w:pageBreakBefore w:val="0"/>
        <w:kinsoku/>
        <w:wordWrap/>
        <w:overflowPunct/>
        <w:topLinePunct w:val="0"/>
        <w:autoSpaceDE/>
        <w:autoSpaceDN/>
        <w:bidi w:val="0"/>
        <w:adjustRightInd/>
        <w:snapToGrid/>
        <w:spacing w:before="120" w:beforeLines="50" w:after="120" w:afterLines="50" w:line="360" w:lineRule="auto"/>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账    号：                          账    号：</w:t>
      </w:r>
    </w:p>
    <w:p w14:paraId="296BDF4D">
      <w:pPr>
        <w:keepNext w:val="0"/>
        <w:keepLines w:val="0"/>
        <w:pageBreakBefore w:val="0"/>
        <w:kinsoku/>
        <w:wordWrap/>
        <w:overflowPunct/>
        <w:topLinePunct w:val="0"/>
        <w:autoSpaceDE/>
        <w:autoSpaceDN/>
        <w:bidi w:val="0"/>
        <w:adjustRightInd/>
        <w:snapToGrid/>
        <w:spacing w:before="120" w:beforeLines="50" w:after="120" w:afterLines="50" w:line="360" w:lineRule="auto"/>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电    话：                          电    话：</w:t>
      </w:r>
    </w:p>
    <w:p w14:paraId="0B895B23">
      <w:pPr>
        <w:keepNext w:val="0"/>
        <w:keepLines w:val="0"/>
        <w:pageBreakBefore w:val="0"/>
        <w:kinsoku/>
        <w:wordWrap/>
        <w:overflowPunct/>
        <w:topLinePunct w:val="0"/>
        <w:autoSpaceDE/>
        <w:autoSpaceDN/>
        <w:bidi w:val="0"/>
        <w:adjustRightInd/>
        <w:snapToGrid/>
        <w:spacing w:before="120" w:beforeLines="50" w:after="120" w:afterLines="50" w:line="360" w:lineRule="auto"/>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传    真：                          传    真：</w:t>
      </w:r>
    </w:p>
    <w:p w14:paraId="1A1A5056">
      <w:pPr>
        <w:keepNext w:val="0"/>
        <w:keepLines w:val="0"/>
        <w:pageBreakBefore w:val="0"/>
        <w:kinsoku/>
        <w:wordWrap/>
        <w:overflowPunct/>
        <w:topLinePunct w:val="0"/>
        <w:autoSpaceDE/>
        <w:autoSpaceDN/>
        <w:bidi w:val="0"/>
        <w:adjustRightInd/>
        <w:snapToGrid/>
        <w:spacing w:before="120" w:beforeLines="50" w:after="120" w:afterLines="50" w:line="360" w:lineRule="auto"/>
        <w:textAlignment w:val="auto"/>
        <w:rPr>
          <w:rFonts w:hint="eastAsia" w:ascii="宋体" w:hAnsi="宋体" w:cs="宋体"/>
          <w:color w:val="auto"/>
          <w:szCs w:val="21"/>
          <w:highlight w:val="none"/>
        </w:rPr>
      </w:pPr>
      <w:r>
        <w:rPr>
          <w:rFonts w:hint="eastAsia" w:ascii="宋体" w:hAnsi="宋体" w:cs="宋体"/>
          <w:color w:val="auto"/>
          <w:szCs w:val="21"/>
          <w:highlight w:val="none"/>
        </w:rPr>
        <w:t>签约日期：    年  月  日            签约日期：    年  月  日</w:t>
      </w:r>
    </w:p>
    <w:p w14:paraId="6A817E8C">
      <w:pPr>
        <w:keepNext w:val="0"/>
        <w:keepLines w:val="0"/>
        <w:pageBreakBefore w:val="0"/>
        <w:kinsoku/>
        <w:wordWrap/>
        <w:overflowPunct/>
        <w:topLinePunct w:val="0"/>
        <w:autoSpaceDE/>
        <w:autoSpaceDN/>
        <w:bidi w:val="0"/>
        <w:adjustRightInd/>
        <w:snapToGrid/>
        <w:spacing w:line="360" w:lineRule="auto"/>
        <w:textAlignment w:val="auto"/>
      </w:pPr>
    </w:p>
    <w:p w14:paraId="19A1D4BE">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17BCC9D1">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41B660FB">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69EDD029">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6C901441">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325DAF11">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0FA39425">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330F8D1D">
      <w:pPr>
        <w:pStyle w:val="14"/>
        <w:rPr>
          <w:rFonts w:hint="eastAsia"/>
          <w:lang w:val="en-US" w:eastAsia="zh-Hans"/>
        </w:rPr>
      </w:pPr>
    </w:p>
    <w:p w14:paraId="4747962B">
      <w:pPr>
        <w:pStyle w:val="14"/>
        <w:rPr>
          <w:rFonts w:hint="eastAsia"/>
          <w:lang w:val="en-US" w:eastAsia="zh-Hans"/>
        </w:rPr>
      </w:pPr>
    </w:p>
    <w:p w14:paraId="41CFA616">
      <w:pPr>
        <w:pStyle w:val="14"/>
        <w:rPr>
          <w:rFonts w:hint="eastAsia"/>
          <w:lang w:val="en-US" w:eastAsia="zh-Hans"/>
        </w:rPr>
      </w:pPr>
    </w:p>
    <w:p w14:paraId="26558645">
      <w:pPr>
        <w:pStyle w:val="14"/>
        <w:rPr>
          <w:rFonts w:hint="eastAsia"/>
          <w:lang w:val="en-US" w:eastAsia="zh-Hans"/>
        </w:rPr>
      </w:pPr>
    </w:p>
    <w:p w14:paraId="264E73BB">
      <w:pPr>
        <w:pStyle w:val="14"/>
        <w:rPr>
          <w:rFonts w:hint="eastAsia"/>
          <w:lang w:val="en-US" w:eastAsia="zh-Hans"/>
        </w:rPr>
      </w:pPr>
    </w:p>
    <w:p w14:paraId="586D582B">
      <w:pPr>
        <w:pStyle w:val="14"/>
        <w:rPr>
          <w:rFonts w:hint="eastAsia"/>
          <w:lang w:val="en-US" w:eastAsia="zh-Hans"/>
        </w:rPr>
      </w:pPr>
    </w:p>
    <w:p w14:paraId="731DA883">
      <w:pPr>
        <w:pStyle w:val="14"/>
        <w:rPr>
          <w:rFonts w:hint="eastAsia"/>
          <w:lang w:val="en-US" w:eastAsia="zh-Hans"/>
        </w:rPr>
      </w:pPr>
    </w:p>
    <w:p w14:paraId="6EB2E9C9">
      <w:pPr>
        <w:pStyle w:val="14"/>
        <w:rPr>
          <w:rFonts w:hint="eastAsia"/>
          <w:lang w:val="en-US" w:eastAsia="zh-Hans"/>
        </w:rPr>
      </w:pPr>
    </w:p>
    <w:p w14:paraId="5FE24F95">
      <w:pPr>
        <w:pStyle w:val="14"/>
        <w:keepNext w:val="0"/>
        <w:keepLines w:val="0"/>
        <w:pageBreakBefore w:val="0"/>
        <w:widowControl/>
        <w:kinsoku/>
        <w:wordWrap/>
        <w:overflowPunct/>
        <w:topLinePunct w:val="0"/>
        <w:autoSpaceDE/>
        <w:autoSpaceDN/>
        <w:bidi w:val="0"/>
        <w:adjustRightInd/>
        <w:snapToGrid/>
        <w:spacing w:beforeAutospacing="0" w:afterAutospacing="0" w:line="288" w:lineRule="auto"/>
        <w:textAlignment w:val="auto"/>
        <w:rPr>
          <w:rFonts w:hint="eastAsia" w:ascii="宋体" w:hAnsi="宋体" w:eastAsia="宋体" w:cs="宋体"/>
          <w:b w:val="0"/>
          <w:bCs w:val="0"/>
          <w:sz w:val="21"/>
          <w:szCs w:val="21"/>
          <w:lang w:val="en-US" w:eastAsia="zh-Hans"/>
        </w:rPr>
      </w:pPr>
    </w:p>
    <w:p w14:paraId="5D74615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90D9B3"/>
    <w:multiLevelType w:val="singleLevel"/>
    <w:tmpl w:val="C890D9B3"/>
    <w:lvl w:ilvl="0" w:tentative="0">
      <w:start w:val="14"/>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1NTkxNzBiMzFmYTgzOGQzOGIxOWQ3YWEzNDFhZjkifQ=="/>
  </w:docVars>
  <w:rsids>
    <w:rsidRoot w:val="2EE52387"/>
    <w:rsid w:val="0BA05DC3"/>
    <w:rsid w:val="1C1257C5"/>
    <w:rsid w:val="22737F8A"/>
    <w:rsid w:val="239365FF"/>
    <w:rsid w:val="2EE52387"/>
    <w:rsid w:val="3A231E3E"/>
    <w:rsid w:val="41120516"/>
    <w:rsid w:val="489F0DA6"/>
    <w:rsid w:val="4C6360CA"/>
    <w:rsid w:val="50C03AEB"/>
    <w:rsid w:val="60575AEE"/>
    <w:rsid w:val="610417D1"/>
    <w:rsid w:val="693D1D24"/>
    <w:rsid w:val="6B0625EA"/>
    <w:rsid w:val="7FDB5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0"/>
    <w:pPr>
      <w:keepNext/>
      <w:spacing w:line="720" w:lineRule="exact"/>
      <w:outlineLvl w:val="1"/>
    </w:pPr>
    <w:rPr>
      <w:rFonts w:ascii="黑体" w:hAnsi="Copperplate Gothic Bold" w:eastAsia="楷体_GB2312"/>
      <w:sz w:val="28"/>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pPr>
  </w:style>
  <w:style w:type="paragraph" w:styleId="4">
    <w:name w:val="annotation text"/>
    <w:basedOn w:val="1"/>
    <w:qFormat/>
    <w:uiPriority w:val="0"/>
    <w:pPr>
      <w:jc w:val="left"/>
    </w:pPr>
  </w:style>
  <w:style w:type="paragraph" w:styleId="5">
    <w:name w:val="Body Text"/>
    <w:basedOn w:val="1"/>
    <w:next w:val="1"/>
    <w:qFormat/>
    <w:uiPriority w:val="0"/>
    <w:pPr>
      <w:jc w:val="center"/>
    </w:pPr>
  </w:style>
  <w:style w:type="paragraph" w:styleId="6">
    <w:name w:val="Body Text Indent"/>
    <w:basedOn w:val="1"/>
    <w:qFormat/>
    <w:uiPriority w:val="0"/>
    <w:pPr>
      <w:ind w:firstLine="552"/>
    </w:pPr>
    <w:rPr>
      <w:rFonts w:ascii="宋体"/>
      <w:sz w:val="28"/>
    </w:rPr>
  </w:style>
  <w:style w:type="paragraph" w:styleId="7">
    <w:name w:val="Plain Text"/>
    <w:basedOn w:val="1"/>
    <w:qFormat/>
    <w:uiPriority w:val="0"/>
    <w:rPr>
      <w:rFonts w:hAnsi="Courier New"/>
      <w:kern w:val="2"/>
      <w:sz w:val="21"/>
    </w:rPr>
  </w:style>
  <w:style w:type="paragraph" w:styleId="8">
    <w:name w:val="Normal (Web)"/>
    <w:basedOn w:val="1"/>
    <w:qFormat/>
    <w:uiPriority w:val="0"/>
    <w:pPr>
      <w:jc w:val="left"/>
    </w:pPr>
    <w:rPr>
      <w:kern w:val="0"/>
      <w:sz w:val="24"/>
    </w:rPr>
  </w:style>
  <w:style w:type="paragraph" w:styleId="9">
    <w:name w:val="Body Text First Indent"/>
    <w:basedOn w:val="5"/>
    <w:next w:val="10"/>
    <w:qFormat/>
    <w:uiPriority w:val="99"/>
    <w:pPr>
      <w:ind w:firstLine="420" w:firstLineChars="100"/>
    </w:pPr>
    <w:rPr>
      <w:rFonts w:ascii="宋体"/>
    </w:rPr>
  </w:style>
  <w:style w:type="paragraph" w:styleId="10">
    <w:name w:val="Body Text First Indent 2"/>
    <w:basedOn w:val="6"/>
    <w:qFormat/>
    <w:uiPriority w:val="0"/>
    <w:pPr>
      <w:ind w:firstLine="420" w:firstLineChars="200"/>
    </w:pPr>
  </w:style>
  <w:style w:type="paragraph" w:customStyle="1" w:styleId="13">
    <w:name w:val="样式 首行缩进:  2 字符"/>
    <w:basedOn w:val="1"/>
    <w:qFormat/>
    <w:uiPriority w:val="0"/>
    <w:pPr>
      <w:spacing w:line="400" w:lineRule="exact"/>
      <w:ind w:firstLine="200" w:firstLineChars="200"/>
    </w:pPr>
    <w:rPr>
      <w:rFonts w:cs="宋体"/>
      <w:sz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3101</Words>
  <Characters>3153</Characters>
  <Lines>0</Lines>
  <Paragraphs>0</Paragraphs>
  <TotalTime>10</TotalTime>
  <ScaleCrop>false</ScaleCrop>
  <LinksUpToDate>false</LinksUpToDate>
  <CharactersWithSpaces>3627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2024-10-24T03:47:00Z</dcterms:created>
  <dc:creator>1</dc:creator>
  <cp:lastModifiedBy>纆ˇ纆</cp:lastModifiedBy>
  <dcterms:modified xsi:type="dcterms:W3CDTF">2025-11-25T07:59:47Z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8A7FFD6026EB489AB558465CCE3B278B_11</vt:lpwstr>
  </property>
  <property fmtid="{D5CDD505-2E9C-101B-9397-08002B2CF9AE}" pid="4" name="KSOTemplateDocerSaveRecord">
    <vt:lpwstr>eyJoZGlkIjoiMjdiYTA1NDU4MDE2ZWNlMGJlZmE5NjRmNTNkYTJhMjYiLCJ1c2VySWQiOiI0MjI1NDE5MjIifQ==</vt:lpwstr>
  </property>
</Properties>
</file>