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版本号：SXZH-2025-151-220251224001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执法办案体检(二次)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SXZH-2025-151-2</w:t>
      </w:r>
      <w:r>
        <w:br/>
      </w:r>
      <w:r>
        <w:br/>
      </w:r>
      <w:r>
        <w:br/>
      </w:r>
    </w:p>
    <w:p>
      <w:pPr>
        <w:pStyle w:val="null3"/>
        <w:jc w:val="center"/>
        <w:outlineLvl w:val="2"/>
      </w:pPr>
      <w:r>
        <w:rPr>
          <w:rFonts w:ascii="仿宋_GB2312" w:hAnsi="仿宋_GB2312" w:cs="仿宋_GB2312" w:eastAsia="仿宋_GB2312"/>
          <w:sz w:val="28"/>
          <w:b/>
        </w:rPr>
        <w:t>西安市公安局长安分局</w:t>
      </w:r>
    </w:p>
    <w:p>
      <w:pPr>
        <w:pStyle w:val="null3"/>
        <w:jc w:val="center"/>
        <w:outlineLvl w:val="2"/>
      </w:pPr>
      <w:r>
        <w:rPr>
          <w:rFonts w:ascii="仿宋_GB2312" w:hAnsi="仿宋_GB2312" w:cs="仿宋_GB2312" w:eastAsia="仿宋_GB2312"/>
          <w:sz w:val="28"/>
          <w:b/>
        </w:rPr>
        <w:t>陕西筑辉工程咨询有限公司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陕西筑辉工程咨询有限公司</w:t>
      </w:r>
      <w:r>
        <w:rPr>
          <w:rFonts w:ascii="仿宋_GB2312" w:hAnsi="仿宋_GB2312" w:cs="仿宋_GB2312" w:eastAsia="仿宋_GB2312"/>
        </w:rPr>
        <w:t>（以下简称“代理机构”）受</w:t>
      </w:r>
      <w:r>
        <w:rPr>
          <w:rFonts w:ascii="仿宋_GB2312" w:hAnsi="仿宋_GB2312" w:cs="仿宋_GB2312" w:eastAsia="仿宋_GB2312"/>
        </w:rPr>
        <w:t>西安市公安局长安分局</w:t>
      </w:r>
      <w:r>
        <w:rPr>
          <w:rFonts w:ascii="仿宋_GB2312" w:hAnsi="仿宋_GB2312" w:cs="仿宋_GB2312" w:eastAsia="仿宋_GB2312"/>
        </w:rPr>
        <w:t>委托，拟对</w:t>
      </w:r>
      <w:r>
        <w:rPr>
          <w:rFonts w:ascii="仿宋_GB2312" w:hAnsi="仿宋_GB2312" w:cs="仿宋_GB2312" w:eastAsia="仿宋_GB2312"/>
        </w:rPr>
        <w:t>执法办案体检(二次)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SXZH-2025-151-2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执法办案体检(二次)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西安市公安局长安分局执法办案体检项目，为保障执法办案需求，对办案对象进行体检。</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1、法定代表人身份证明或法定代表人授权委托书：法定代表人直接参加磋商的，须出具法定代表人身份证明；法定代表人授权代表参加磋商的，须出具法定代表人授权委托书；</w:t>
      </w:r>
    </w:p>
    <w:p>
      <w:pPr>
        <w:pStyle w:val="null3"/>
      </w:pPr>
      <w:r>
        <w:rPr>
          <w:rFonts w:ascii="仿宋_GB2312" w:hAnsi="仿宋_GB2312" w:cs="仿宋_GB2312" w:eastAsia="仿宋_GB2312"/>
        </w:rPr>
        <w:t>2、资质证书：供应商应具有卫生行政部门核准登记取得且有效的《医疗机构执业许可证》和《放射诊疗许可证》；</w:t>
      </w:r>
    </w:p>
    <w:p>
      <w:pPr>
        <w:pStyle w:val="null3"/>
      </w:pPr>
      <w:r>
        <w:rPr>
          <w:rFonts w:ascii="仿宋_GB2312" w:hAnsi="仿宋_GB2312" w:cs="仿宋_GB2312" w:eastAsia="仿宋_GB2312"/>
        </w:rPr>
        <w:t>3、信用记录：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案件当事人名单、政府采购严重违法失信行为记录名单内的，采购人和采购代理机构将拒绝其参与政府采购活动，查询结果以纸质方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西安市公安局长安分局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北长安街24号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西安市公安局长安分局经办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02986750668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陕西筑辉工程咨询有限公司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陕西省西安市雁塔区南二环东段22号凯森盛世1号B座2层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721000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梁婉婉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029-89533929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政府采购中心</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代理服务费收费标准：1、招标代理服务费的计算方法：以成交金额为基数，参考《国家计委关于印发&lt;招 标代理服务收费管理暂行办法&gt;的通知》（计价格【2002】1980号）及《国家发改委关于降低 部分建设项目收费标准规范收费行为等有关问题的通知》（发改价格[2011]534号）规定按标准收取,具体金额将在结果公告中公布。 2、招标代理服务费可以采取现金、支票、银行汇票、电汇、网银等方式缴纳。 3、招标代理服务费缴纳信息： 银行户名：陕西筑辉工程咨询有限公司 开户银行：北京银行股份有限公司西安经济技术开发区支行 账 号：20000041418600030109571 联 系人：梁工 联系电话：029-89533929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西安市公安局长安分局</w:t>
      </w:r>
      <w:r>
        <w:rPr>
          <w:rFonts w:ascii="仿宋_GB2312" w:hAnsi="仿宋_GB2312" w:cs="仿宋_GB2312" w:eastAsia="仿宋_GB2312"/>
        </w:rPr>
        <w:t>和</w:t>
      </w:r>
      <w:r>
        <w:rPr>
          <w:rFonts w:ascii="仿宋_GB2312" w:hAnsi="仿宋_GB2312" w:cs="仿宋_GB2312" w:eastAsia="仿宋_GB2312"/>
        </w:rPr>
        <w:t>陕西筑辉工程咨询有限公司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西安市公安局长安分局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陕西筑辉工程咨询有限公司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西安市公安局长安分局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陕西筑辉工程咨询有限公司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符合国家相关标准规定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陕西筑辉工程咨询有限公司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陕西筑辉工程咨询有限公司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陕西筑辉工程咨询有限公司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联系人：梁婉婉</w:t>
      </w:r>
    </w:p>
    <w:p>
      <w:pPr>
        <w:pStyle w:val="null3"/>
      </w:pPr>
      <w:r>
        <w:rPr>
          <w:rFonts w:ascii="仿宋_GB2312" w:hAnsi="仿宋_GB2312" w:cs="仿宋_GB2312" w:eastAsia="仿宋_GB2312"/>
        </w:rPr>
        <w:t>联系电话：029-89533929</w:t>
      </w:r>
    </w:p>
    <w:p>
      <w:pPr>
        <w:pStyle w:val="null3"/>
      </w:pPr>
      <w:r>
        <w:rPr>
          <w:rFonts w:ascii="仿宋_GB2312" w:hAnsi="仿宋_GB2312" w:cs="仿宋_GB2312" w:eastAsia="仿宋_GB2312"/>
        </w:rPr>
        <w:t>地址：西安市雁塔区南二环东段22号（凯森盛世1号）B座2层</w:t>
      </w:r>
    </w:p>
    <w:p>
      <w:pPr>
        <w:pStyle w:val="null3"/>
      </w:pPr>
      <w:r>
        <w:rPr>
          <w:rFonts w:ascii="仿宋_GB2312" w:hAnsi="仿宋_GB2312" w:cs="仿宋_GB2312" w:eastAsia="仿宋_GB2312"/>
        </w:rPr>
        <w:t>邮编：721000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西安市公安局长安分局执法办案体检项目，为保障执法办案需求，对办案对象进行体检。</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执法办案体检</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标的名称：执法办案体检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一、体检项目：心电图、肝胆胰脾双肾、胸部正位片、腹部正位片、血常规、尿常规、尿妊娠检查、胸部</w:t>
            </w:r>
            <w:r>
              <w:rPr>
                <w:rFonts w:ascii="仿宋_GB2312" w:hAnsi="仿宋_GB2312" w:cs="仿宋_GB2312" w:eastAsia="仿宋_GB2312"/>
              </w:rPr>
              <w:t>CT</w:t>
            </w:r>
            <w:r>
              <w:rPr>
                <w:rFonts w:ascii="仿宋_GB2312" w:hAnsi="仿宋_GB2312" w:cs="仿宋_GB2312" w:eastAsia="仿宋_GB2312"/>
              </w:rPr>
              <w:t>。</w:t>
            </w:r>
          </w:p>
          <w:p>
            <w:pPr>
              <w:pStyle w:val="null3"/>
              <w:jc w:val="both"/>
            </w:pPr>
            <w:r>
              <w:rPr>
                <w:rFonts w:ascii="仿宋_GB2312" w:hAnsi="仿宋_GB2312" w:cs="仿宋_GB2312" w:eastAsia="仿宋_GB2312"/>
              </w:rPr>
              <w:t>二、诉求：体检场所能确保特殊人员体检安全性。</w:t>
            </w:r>
          </w:p>
          <w:p>
            <w:pPr>
              <w:pStyle w:val="null3"/>
              <w:jc w:val="both"/>
            </w:pPr>
            <w:r>
              <w:rPr>
                <w:rFonts w:ascii="仿宋_GB2312" w:hAnsi="仿宋_GB2312" w:cs="仿宋_GB2312" w:eastAsia="仿宋_GB2312"/>
              </w:rPr>
              <w:t>三、体检服务保障：</w:t>
            </w:r>
          </w:p>
          <w:p>
            <w:pPr>
              <w:pStyle w:val="null3"/>
              <w:ind w:firstLine="400"/>
              <w:jc w:val="both"/>
            </w:pPr>
            <w:r>
              <w:rPr>
                <w:rFonts w:ascii="仿宋_GB2312" w:hAnsi="仿宋_GB2312" w:cs="仿宋_GB2312" w:eastAsia="仿宋_GB2312"/>
              </w:rPr>
              <w:t>1</w:t>
            </w:r>
            <w:r>
              <w:rPr>
                <w:rFonts w:ascii="仿宋_GB2312" w:hAnsi="仿宋_GB2312" w:cs="仿宋_GB2312" w:eastAsia="仿宋_GB2312"/>
              </w:rPr>
              <w:t>、保护患者隐私：特殊人员体检和其他体检客户在空间上能进行一个有效隔离。特殊人员体检报告由专人领取。</w:t>
            </w:r>
          </w:p>
          <w:p>
            <w:pPr>
              <w:pStyle w:val="null3"/>
              <w:ind w:firstLine="400"/>
              <w:jc w:val="both"/>
            </w:pPr>
            <w:r>
              <w:rPr>
                <w:rFonts w:ascii="仿宋_GB2312" w:hAnsi="仿宋_GB2312" w:cs="仿宋_GB2312" w:eastAsia="仿宋_GB2312"/>
              </w:rPr>
              <w:t>2</w:t>
            </w:r>
            <w:r>
              <w:rPr>
                <w:rFonts w:ascii="仿宋_GB2312" w:hAnsi="仿宋_GB2312" w:cs="仿宋_GB2312" w:eastAsia="仿宋_GB2312"/>
              </w:rPr>
              <w:t>、便捷性：给特殊人员体检开通绿色通道，确保缩短等待时间。</w:t>
            </w:r>
          </w:p>
          <w:p>
            <w:pPr>
              <w:pStyle w:val="null3"/>
              <w:ind w:firstLine="400"/>
              <w:jc w:val="both"/>
            </w:pPr>
            <w:r>
              <w:rPr>
                <w:rFonts w:ascii="仿宋_GB2312" w:hAnsi="仿宋_GB2312" w:cs="仿宋_GB2312" w:eastAsia="仿宋_GB2312"/>
              </w:rPr>
              <w:t>3</w:t>
            </w:r>
            <w:r>
              <w:rPr>
                <w:rFonts w:ascii="仿宋_GB2312" w:hAnsi="仿宋_GB2312" w:cs="仿宋_GB2312" w:eastAsia="仿宋_GB2312"/>
              </w:rPr>
              <w:t>、提供</w:t>
            </w:r>
            <w:r>
              <w:rPr>
                <w:rFonts w:ascii="仿宋_GB2312" w:hAnsi="仿宋_GB2312" w:cs="仿宋_GB2312" w:eastAsia="仿宋_GB2312"/>
              </w:rPr>
              <w:t>24</w:t>
            </w:r>
            <w:r>
              <w:rPr>
                <w:rFonts w:ascii="仿宋_GB2312" w:hAnsi="仿宋_GB2312" w:cs="仿宋_GB2312" w:eastAsia="仿宋_GB2312"/>
              </w:rPr>
              <w:t>小时体检服务，医院专人对接服务。</w:t>
            </w:r>
          </w:p>
          <w:p>
            <w:pPr>
              <w:pStyle w:val="null3"/>
              <w:ind w:firstLine="400"/>
              <w:jc w:val="both"/>
            </w:pPr>
            <w:r>
              <w:rPr>
                <w:rFonts w:ascii="仿宋_GB2312" w:hAnsi="仿宋_GB2312" w:cs="仿宋_GB2312" w:eastAsia="仿宋_GB2312"/>
              </w:rPr>
              <w:t>4</w:t>
            </w:r>
            <w:r>
              <w:rPr>
                <w:rFonts w:ascii="仿宋_GB2312" w:hAnsi="仿宋_GB2312" w:cs="仿宋_GB2312" w:eastAsia="仿宋_GB2312"/>
              </w:rPr>
              <w:t>、报告时限：体检完成后，能保证在</w:t>
            </w:r>
            <w:r>
              <w:rPr>
                <w:rFonts w:ascii="仿宋_GB2312" w:hAnsi="仿宋_GB2312" w:cs="仿宋_GB2312" w:eastAsia="仿宋_GB2312"/>
              </w:rPr>
              <w:t>30-60</w:t>
            </w:r>
            <w:r>
              <w:rPr>
                <w:rFonts w:ascii="仿宋_GB2312" w:hAnsi="仿宋_GB2312" w:cs="仿宋_GB2312" w:eastAsia="仿宋_GB2312"/>
              </w:rPr>
              <w:t>分钟出报告。</w:t>
            </w:r>
          </w:p>
          <w:p>
            <w:pPr>
              <w:pStyle w:val="null3"/>
              <w:ind w:firstLine="400"/>
              <w:jc w:val="both"/>
            </w:pPr>
            <w:r>
              <w:rPr>
                <w:rFonts w:ascii="仿宋_GB2312" w:hAnsi="仿宋_GB2312" w:cs="仿宋_GB2312" w:eastAsia="仿宋_GB2312"/>
              </w:rPr>
              <w:t>5</w:t>
            </w:r>
            <w:r>
              <w:rPr>
                <w:rFonts w:ascii="仿宋_GB2312" w:hAnsi="仿宋_GB2312" w:cs="仿宋_GB2312" w:eastAsia="仿宋_GB2312"/>
              </w:rPr>
              <w:t>、检后诊疗服务：体检发现重要异常结果需要及时就诊，可提供临床专科对接后续诊疗服务。</w:t>
            </w:r>
          </w:p>
          <w:p>
            <w:pPr>
              <w:pStyle w:val="null3"/>
              <w:ind w:firstLine="400"/>
              <w:jc w:val="both"/>
            </w:pPr>
            <w:r>
              <w:rPr>
                <w:rFonts w:ascii="仿宋_GB2312" w:hAnsi="仿宋_GB2312" w:cs="仿宋_GB2312" w:eastAsia="仿宋_GB2312"/>
              </w:rPr>
              <w:t>6、突发状况处理：特殊人员在体检过程中，突发任何身体状况，会走紧急预案流程进行抢救处理。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按照项目实际情况进行配置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按照项目实际情况进行配置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三年，合同一年一签（甲方根据乙方的服务情况考虑是否续签下一年合同）。</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符合国家相关标准规定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按照实际体检人次每月结算一次，具体支付以财政拨款时间为准，乙方在接受付款前，提供等额增值税普通发票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按照实际体检人次每月结算一次，具体支付以财政拨款时间为准，乙方在接受付款前，提供等额增值税普通发票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按照实际体检人次每月结算一次，具体支付以财政拨款时间为准，乙方在接受付款前，提供等额增值税普通发票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按照实际体检人次每月结算一次，具体支付以财政拨款时间为准，乙方在接受付款前，提供等额增值税普通发票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按照实际体检人次每月结算一次，具体支付以财政拨款时间为准，乙方在接受付款前，提供等额增值税普通发票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按照实际体检人次每月结算一次，具体支付以财政拨款时间为准，乙方在接受付款前，提供等额增值税普通发票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按照实际体检人次每月结算一次，具体支付以财政拨款时间为准，乙方在接受付款前，提供等额增值税普通发票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按照实际体检人次每月结算一次，具体支付以财政拨款时间为准，乙方在接受付款前，提供等额增值税普通发票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按照实际体检人次每月结算一次，具体支付以财政拨款时间为准，乙方在接受付款前，提供等额增值税普通发票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按照实际体检人次每月结算一次，具体支付以财政拨款时间为准，乙方在接受付款前，提供等额增值税普通发票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按照实际体检人次每月结算一次，具体支付以财政拨款时间为准，乙方在接受付款前，提供等额增值税普通发票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按照实际体检人次每月结算一次，具体支付以财政拨款时间为准，乙方在接受付款前，提供等额增值税普通发票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1、甲乙双方如出现违约的，违约方自违约之日起，每日按合同总价的5‰向守约方承担违约责任并且及时采取有效补救措施，违约金总额不超过本合同总价的5%，并继续履行本合同所规定的义务。 2、乙方违约超过15日的，则甲方有权解除合同，乙方应依甲方要求并按合同总价的10%向甲方承担违约责任，并将工作资料、已取得工作成果和其他相关的资料一并移交甲方，乙方不得以任何理由拒绝或拖延提交有关资料，或提供不真实、不准确、不完整的资料。 双方本着友好合作的态度,对合同履行过程中发生的纠纷应及时协商解决,协商不成，向甲方所在地人民法院诉讼解决。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成交供应商在领取成交通知书前，须向采购代理机构提供纸质版响应文件3套（一正两副），且提供的响应文件必须与在陕西省政府采购综合管理平台的项目电子化交易系统中递交的电子响应文件内容一致，纸质版响应文件必须装订成册且签字盖章齐全。 2.如磋商文件中融资相关内容与新政策要求有出入，按照最新要求执行。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（1）供应商应具有独立承担民事责任的能力，提供供应商的营业执照等证明文件，自然人的身份证明等； （2）税收缴纳证明：提供供应商自磋商前6个月以来已缴纳任意时段完税凭证或税务机关开具的完税证明（任意税种）；依法免税的应提供相关文件证明； （3）社会保障资金缴纳证明：提供供应商自磋商前6个月以来已缴存的任意时段的社会保障资金缴存单据或社保机构开具的社会保险参保缴费情况证明；依法不需要缴纳社会保障资金的供应商应提供相关文件证明； （4）提供供应商具备履行合同所必需的设备和专业技术能力的证明材料； （5）供应商参加本次磋商前3年内，在经营活动中没有重大违法记录的书面声明；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2024年度经审计的财务报告（包括“四表一注”，即资产负债表、利润表、现金流量表、所有者权益变动表及其附注），或者提供响应文件截止时间六个月内其基本账户开户银行出具的资信证明（附《基本存款账户信息》或《银行开户许可证》复印件）或信用担保机构出具的投标担保函，以上三种形式的资料提供任何一种即可（成立时间至提交响应文件截止时间不足一年的可提供成立后任意时段的资产负债表）；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法定代表人直接参加磋商的，须出具法定代表人身份证明；法定代表人授权代表参加磋商的，须出具法定代表人授权委托书；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供应商应具有卫生行政部门核准登记取得且有效的《医疗机构执业许可证》和《放射诊疗许可证》；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案件当事人名单、政府采购严重违法失信行为记录名单内的，采购人和采购代理机构将拒绝其参与政府采购活动，查询结果以纸质方式留存）。</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报价明细表.docx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标的清单 报价表 报价明细表.docx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响应文件按照磋商文件的要求签字或盖章</w:t>
            </w:r>
          </w:p>
        </w:tc>
        <w:tc>
          <w:tcPr>
            <w:tcW w:type="dxa" w:w="1661"/>
          </w:tcPr>
          <w:p>
            <w:pPr>
              <w:pStyle w:val="null3"/>
            </w:pPr>
            <w:r>
              <w:rPr>
                <w:rFonts w:ascii="仿宋_GB2312" w:hAnsi="仿宋_GB2312" w:cs="仿宋_GB2312" w:eastAsia="仿宋_GB2312"/>
              </w:rPr>
              <w:t>中小企业声明函 商务应答表.docx 报价表 响应文件封面 供应商应提交的相关资格证明材料.docx 残疾人福利性单位声明函 供应商认为需补充的其他内容.docx 标的清单 供应商拒绝政府采购领域商业贿赂承诺书.docx 服务内容及服务要求应答表.docx 业绩的相关证明材料.docx 响应函 服务方案.docx 监狱企业的证明文件 报价明细表.docx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所有提交的证件、文件与印章一致</w:t>
            </w:r>
          </w:p>
        </w:tc>
        <w:tc>
          <w:tcPr>
            <w:tcW w:type="dxa" w:w="1661"/>
          </w:tcPr>
          <w:p>
            <w:pPr>
              <w:pStyle w:val="null3"/>
            </w:pPr>
            <w:r>
              <w:rPr>
                <w:rFonts w:ascii="仿宋_GB2312" w:hAnsi="仿宋_GB2312" w:cs="仿宋_GB2312" w:eastAsia="仿宋_GB2312"/>
              </w:rPr>
              <w:t>中小企业声明函 商务应答表.docx 报价表 响应文件封面 供应商应提交的相关资格证明材料.docx 残疾人福利性单位声明函 供应商认为需补充的其他内容.docx 标的清单 供应商拒绝政府采购领域商业贿赂承诺书.docx 服务内容及服务要求应答表.docx 业绩的相关证明材料.docx 响应函 服务方案.docx 监狱企业的证明文件 报价明细表.docx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响应文件内容符合磋商文件的要求</w:t>
            </w:r>
          </w:p>
        </w:tc>
        <w:tc>
          <w:tcPr>
            <w:tcW w:type="dxa" w:w="1661"/>
          </w:tcPr>
          <w:p>
            <w:pPr>
              <w:pStyle w:val="null3"/>
            </w:pPr>
            <w:r>
              <w:rPr>
                <w:rFonts w:ascii="仿宋_GB2312" w:hAnsi="仿宋_GB2312" w:cs="仿宋_GB2312" w:eastAsia="仿宋_GB2312"/>
              </w:rPr>
              <w:t>中小企业声明函 商务应答表.docx 报价表 响应文件封面 供应商应提交的相关资格证明材料.docx 残疾人福利性单位声明函 供应商认为需补充的其他内容.docx 标的清单 供应商拒绝政府采购领域商业贿赂承诺书.docx 服务内容及服务要求应答表.docx 业绩的相关证明材料.docx 响应函 服务方案.docx 监狱企业的证明文件 报价明细表.docx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从递交响应文件的截止之日起算不少于90个日历日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商务应答表.docx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的特点，提供有针对性的健康体检服务方案，包括：①总体服务方案；②体检流程；③场次安排计划；④现场管理方案。评审标准：方案各部分内容全面详细、阐述条理清晰详尽、符合本项目采购需求，得12分；每缺一项扣3分，评审内容有缺陷的根据情况扣分，扣0.1-2.9分。备注：评审内容“缺陷”是指：内容不完整或缺少关键点；非专门针对本项目或不适用本项目特性、套用其他项目进度内容；存在逻辑漏洞、科学原理或常识错误；不利于本项目实施、现有技术条件下无法实现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供应商认为需补充的其他内容.docx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日常流行性传染病防控提供具体详尽的实施方案，包含①场地消毒；②人员聚集；③工作及体检人员安全防护。评审标准：方案合理可行、分步实施方案完善详尽、符合本项目采购需求，得9分；每缺一项扣3分，评审内容有缺陷的根据情况扣分，扣0.1-2.9分。备注：评审内容“缺陷”是指：内容不完整或缺少关键点；非专门针对本项目或不适用本项目特性、套用其他项目进度内容；存在逻辑漏洞、科学原理或常识错误；不利于本项目实施、现有技术条件下无法实现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供应商认为需补充的其他内容.docx</w:t>
            </w:r>
          </w:p>
        </w:tc>
      </w:tr>
      <w:tr>
        <w:tc>
          <w:tcPr>
            <w:tcW w:type="dxa" w:w="831"/>
            <w:vMerge/>
          </w:tcPr>
          <w:p/>
        </w:tc>
        <w:tc>
          <w:tcPr>
            <w:tcW w:type="dxa" w:w="1661"/>
          </w:tcPr>
          <w:p>
            <w:pPr>
              <w:pStyle w:val="null3"/>
            </w:pPr>
            <w:r>
              <w:rPr>
                <w:rFonts w:ascii="仿宋_GB2312" w:hAnsi="仿宋_GB2312" w:cs="仿宋_GB2312" w:eastAsia="仿宋_GB2312"/>
              </w:rPr>
              <w:t>体检资料</w:t>
            </w:r>
          </w:p>
        </w:tc>
        <w:tc>
          <w:tcPr>
            <w:tcW w:type="dxa" w:w="2492"/>
          </w:tcPr>
          <w:p>
            <w:pPr>
              <w:pStyle w:val="null3"/>
            </w:pPr>
            <w:r>
              <w:rPr>
                <w:rFonts w:ascii="仿宋_GB2312" w:hAnsi="仿宋_GB2312" w:cs="仿宋_GB2312" w:eastAsia="仿宋_GB2312"/>
              </w:rPr>
              <w:t>供应商提供体检报告内容，内容包括：①体检结果分析；②健康风险评估报告；③治疗建议；④被检人员的体检结果详细资料及电子档案。评审标准：体检报告内容详尽，形式多样化，针对体检问题具有专业性的解读及建议，得12分；每缺一项扣3分，评审内容有缺陷的根据情况扣分，扣0.1-2.9分。备注：评审内容“缺陷”是指：内容不完整或缺少关键点；非专门针对本项目或不适用本项目特性、套用其他项目进度内容；存在逻辑漏洞、科学原理或常识错误；不利于本项目实施、现有技术条件下无法实现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供应商认为需补充的其他内容.docx</w:t>
            </w:r>
          </w:p>
        </w:tc>
      </w:tr>
      <w:tr>
        <w:tc>
          <w:tcPr>
            <w:tcW w:type="dxa" w:w="831"/>
            <w:vMerge/>
          </w:tcPr>
          <w:p/>
        </w:tc>
        <w:tc>
          <w:tcPr>
            <w:tcW w:type="dxa" w:w="1661"/>
          </w:tcPr>
          <w:p>
            <w:pPr>
              <w:pStyle w:val="null3"/>
            </w:pPr>
            <w:r>
              <w:rPr>
                <w:rFonts w:ascii="仿宋_GB2312" w:hAnsi="仿宋_GB2312" w:cs="仿宋_GB2312" w:eastAsia="仿宋_GB2312"/>
              </w:rPr>
              <w:t>体检场地</w:t>
            </w:r>
          </w:p>
        </w:tc>
        <w:tc>
          <w:tcPr>
            <w:tcW w:type="dxa" w:w="2492"/>
          </w:tcPr>
          <w:p>
            <w:pPr>
              <w:pStyle w:val="null3"/>
            </w:pPr>
            <w:r>
              <w:rPr>
                <w:rFonts w:ascii="仿宋_GB2312" w:hAnsi="仿宋_GB2312" w:cs="仿宋_GB2312" w:eastAsia="仿宋_GB2312"/>
              </w:rPr>
              <w:t>根据供应商提供的体检场地，包括①体检地点；②体检场所环境、卫生状况。评审标准：体检地点选址合理便捷、具有良好的可达性和安全可控性，环境相对独立、卫生状况优良，得6分；每缺一项扣3分，评审内容有缺陷的根据情况扣分，扣0.1-2.9分。备注：评审内容“缺陷”是指：内容不完整或缺少关键点；非专门针对本项目或不适用本项目特性、套用其他项目进度内容；存在逻辑漏洞、科学原理或常识错误；不利于本项目实施、现有技术条件下无法实现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供应商认为需补充的其他内容.docx</w:t>
            </w:r>
          </w:p>
        </w:tc>
      </w:tr>
      <w:tr>
        <w:tc>
          <w:tcPr>
            <w:tcW w:type="dxa" w:w="831"/>
            <w:vMerge/>
          </w:tcPr>
          <w:p/>
        </w:tc>
        <w:tc>
          <w:tcPr>
            <w:tcW w:type="dxa" w:w="1661"/>
          </w:tcPr>
          <w:p>
            <w:pPr>
              <w:pStyle w:val="null3"/>
            </w:pPr>
            <w:r>
              <w:rPr>
                <w:rFonts w:ascii="仿宋_GB2312" w:hAnsi="仿宋_GB2312" w:cs="仿宋_GB2312" w:eastAsia="仿宋_GB2312"/>
              </w:rPr>
              <w:t>体检设备</w:t>
            </w:r>
          </w:p>
        </w:tc>
        <w:tc>
          <w:tcPr>
            <w:tcW w:type="dxa" w:w="2492"/>
          </w:tcPr>
          <w:p>
            <w:pPr>
              <w:pStyle w:val="null3"/>
            </w:pPr>
            <w:r>
              <w:rPr>
                <w:rFonts w:ascii="仿宋_GB2312" w:hAnsi="仿宋_GB2312" w:cs="仿宋_GB2312" w:eastAsia="仿宋_GB2312"/>
              </w:rPr>
              <w:t>供应商按采购需求提供健康体检所需的：①医疗检查设备与检验仪器的种类、数量、能满足工作需要，并能良好运行；②仪器设备有完整的操作规程；③设有专门的检查室及辅助功能设施。 评审标准：内容全面详细、阐述条理清晰详尽、符合本项目采购需求，得9分；每缺一项扣3分，存在不足的扣0.1-2.9分。 备注：评审内容“缺陷”是指：内容不完整或缺少关键点；非专门针对本项目或不适用本项目特性、套用其他项目进度内容；存在逻辑漏洞、科学原理或常识错误；不利于本项目实施、现有技术条件下无法实现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供应商认为需补充的其他内容.docx</w:t>
            </w:r>
          </w:p>
        </w:tc>
      </w:tr>
      <w:tr>
        <w:tc>
          <w:tcPr>
            <w:tcW w:type="dxa" w:w="831"/>
            <w:vMerge/>
          </w:tcPr>
          <w:p/>
        </w:tc>
        <w:tc>
          <w:tcPr>
            <w:tcW w:type="dxa" w:w="1661"/>
          </w:tcPr>
          <w:p>
            <w:pPr>
              <w:pStyle w:val="null3"/>
            </w:pPr>
            <w:r>
              <w:rPr>
                <w:rFonts w:ascii="仿宋_GB2312" w:hAnsi="仿宋_GB2312" w:cs="仿宋_GB2312" w:eastAsia="仿宋_GB2312"/>
              </w:rPr>
              <w:t>体检团队人员配备</w:t>
            </w:r>
          </w:p>
        </w:tc>
        <w:tc>
          <w:tcPr>
            <w:tcW w:type="dxa" w:w="2492"/>
          </w:tcPr>
          <w:p>
            <w:pPr>
              <w:pStyle w:val="null3"/>
            </w:pPr>
            <w:r>
              <w:rPr>
                <w:rFonts w:ascii="仿宋_GB2312" w:hAnsi="仿宋_GB2312" w:cs="仿宋_GB2312" w:eastAsia="仿宋_GB2312"/>
              </w:rPr>
              <w:t>结合本项目要求，提供专业的服务团队，人员岗位设置专业、合理、充足，配备满足体检需求相关服务资格、责任心强的医护人员，针对本项目提供不少于15人的检查团队得8分，不满足不得分。在此基础上，每增加一个相关专业高级职称得2分，每增加一名副主任医师得1分，此项最高得15分。以上内容未提供不得分。说明：本项目投入的医务人员均具备国家规定的相应执业证书。</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供应商认为需补充的其他内容.docx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针对本项目提供体检报告及保密措施，包括但不限于①参检人员所有信息数据保密方案；②体检结果保密措施。 评审标准：内容全面详细、阐述条理清晰详尽、符合本项目采购需求，得6分；每缺一项内容扣3分，存在不足的扣0.1-2.9分。备注：评审内容“缺陷”是指：内容不完整或缺少关键点；非专门针对本项目或不适用本项目特性、套用其他项目方案内容；存在逻辑漏洞、科学原理或常识错误；不利于本项目实施、现有技术条件下无法实现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供应商认为需补充的其他内容.docx</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供应商针对本项目提供应急措施，包含①突发疾病预案②人员集中排队等候时间长③设备故障应急预案等3个方面的内容进行评审。评审标准：内容全面详细、阐述条理清晰详尽、符合本项目采购需求，得9分；每缺一项扣3分，存在不足的扣0.1-2.9分。 备注：评审内容“缺陷”是指：内容不完整或缺少关键点；非专门针对本项目或不适用本项目特性、套用其他项目进度内容；存在逻辑漏洞、科学原理或常识错误；不利于本项目实施、现有技术条件下无法实现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供应商认为需补充的其他内容.docx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有切实可行的服务承诺及服务保证措施。评审标准：内容全面详细、合理，得2分；缺项扣2分，存在不足的扣0.1-1.9分。备注：评审内容“缺陷”是指：内容不完整或缺少关键点；非专门针对本项目或不适用本项目特性、套用其他项目进度内容；存在逻辑漏洞、科学原理或常识错误；不利于本项目实施、现有技术条件下无法实现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供应商认为需补充的其他内容.docx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供应商具有近三年（2022年1月1 日至今，以合同签订时间为准）的类似项目业绩，每提供一个得2分, 最高得10分。注：供应商响应文件中提供合同复印件并加盖公章。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业绩的相关证明材料.docx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 价得分=（磋商基准价/最后磋商报价）×价格权值×100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-20%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详见附件：业绩的相关证明材料.docx</w:t>
      </w:r>
    </w:p>
    <w:p>
      <w:pPr>
        <w:pStyle w:val="null3"/>
        <w:ind w:firstLine="960"/>
      </w:pPr>
      <w:r>
        <w:rPr>
          <w:rFonts w:ascii="仿宋_GB2312" w:hAnsi="仿宋_GB2312" w:cs="仿宋_GB2312" w:eastAsia="仿宋_GB2312"/>
        </w:rPr>
        <w:t>详见附件：供应商拒绝政府采购领域商业贿赂承诺书.docx</w:t>
      </w:r>
    </w:p>
    <w:p>
      <w:pPr>
        <w:pStyle w:val="null3"/>
        <w:ind w:firstLine="960"/>
      </w:pPr>
      <w:r>
        <w:rPr>
          <w:rFonts w:ascii="仿宋_GB2312" w:hAnsi="仿宋_GB2312" w:cs="仿宋_GB2312" w:eastAsia="仿宋_GB2312"/>
        </w:rPr>
        <w:t>详见附件：供应商认为需补充的其他内容.docx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