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版本号：KHXM-ZB-254120251229001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长安区杨庄街道库峪河村2024年省级“千万工程”示范村项目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KHXM-ZB-2541</w:t>
      </w:r>
      <w:r>
        <w:br/>
      </w:r>
      <w:r>
        <w:br/>
      </w:r>
      <w:r>
        <w:br/>
      </w:r>
    </w:p>
    <w:p>
      <w:pPr>
        <w:pStyle w:val="null3"/>
        <w:jc w:val="center"/>
        <w:outlineLvl w:val="2"/>
      </w:pPr>
      <w:r>
        <w:rPr>
          <w:rFonts w:ascii="仿宋_GB2312" w:hAnsi="仿宋_GB2312" w:cs="仿宋_GB2312" w:eastAsia="仿宋_GB2312"/>
          <w:sz w:val="28"/>
          <w:b/>
        </w:rPr>
        <w:t>西安市长安区杨庄街道办事处</w:t>
      </w:r>
    </w:p>
    <w:p>
      <w:pPr>
        <w:pStyle w:val="null3"/>
        <w:jc w:val="center"/>
        <w:outlineLvl w:val="2"/>
      </w:pPr>
      <w:r>
        <w:rPr>
          <w:rFonts w:ascii="仿宋_GB2312" w:hAnsi="仿宋_GB2312" w:cs="仿宋_GB2312" w:eastAsia="仿宋_GB2312"/>
          <w:sz w:val="28"/>
          <w:b/>
        </w:rPr>
        <w:t>西安昆衡项目管理有限公司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西安昆衡项目管理有限公司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西安市长安区杨庄街道办事处</w:t>
      </w:r>
      <w:r>
        <w:rPr>
          <w:rFonts w:ascii="仿宋_GB2312" w:hAnsi="仿宋_GB2312" w:cs="仿宋_GB2312" w:eastAsia="仿宋_GB2312"/>
        </w:rPr>
        <w:t>委托，拟对</w:t>
      </w:r>
      <w:r>
        <w:rPr>
          <w:rFonts w:ascii="仿宋_GB2312" w:hAnsi="仿宋_GB2312" w:cs="仿宋_GB2312" w:eastAsia="仿宋_GB2312"/>
        </w:rPr>
        <w:t>长安区杨庄街道库峪河村2024年省级“千万工程”示范村项目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KHXM-ZB-2541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长安区杨庄街道库峪河村2024年省级“千万工程”示范村项目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长安区杨庄街道库峪河村2024年省级“千万工程”示范村项目，主要工作为道路硬化、甫十路(秦岭保护站-太兴山口)人居环境提升等。具体详见图纸及工程量清单。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采购包1（长安区杨庄街道库峪河村2024年省级“千万工程”示范村项目）：属于专门面向中小企业采购。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并出具合法有效的营业执照或事业单位法人证书等国家规定的相关证明，自然人参与的提供其身份证明：供应商须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2、法定代表人授权书：法定代表人授权书（附法定代表人、被授权人身份证复印件加盖公章）及被授权人身份证原件（法定代表人直接参加磋商，须提供法定代表人身份证明及身份证复印件加盖公章）</w:t>
      </w:r>
    </w:p>
    <w:p>
      <w:pPr>
        <w:pStyle w:val="null3"/>
      </w:pPr>
      <w:r>
        <w:rPr>
          <w:rFonts w:ascii="仿宋_GB2312" w:hAnsi="仿宋_GB2312" w:cs="仿宋_GB2312" w:eastAsia="仿宋_GB2312"/>
        </w:rPr>
        <w:t>3、财务状况报告：提供2023年度或2024年度完整的财务审计报告，或开标时间前六个月内银行出具的资信证明。其他组织和自然人提供银行出具的资信证明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4、税收缴纳证明：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p>
      <w:pPr>
        <w:pStyle w:val="null3"/>
      </w:pPr>
      <w:r>
        <w:rPr>
          <w:rFonts w:ascii="仿宋_GB2312" w:hAnsi="仿宋_GB2312" w:cs="仿宋_GB2312" w:eastAsia="仿宋_GB2312"/>
        </w:rPr>
        <w:t>5、社会保障资金缴纳证明：提供2025年1月至今已缴存的至少一个月的社会保障资金缴存单据或社保机构开具的社会保险参保缴费情况证明，依法不需要缴纳社会保障资金的单位应提供相关证明材料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6、书面声明：参加本次政府采购活动前3年内在经营活动中没有重大违纪，以及未被列入失信被执行人、重大税收违法案件当事人名单、政府采购严重违法失信行为记录名单</w:t>
      </w:r>
    </w:p>
    <w:p>
      <w:pPr>
        <w:pStyle w:val="null3"/>
      </w:pPr>
      <w:r>
        <w:rPr>
          <w:rFonts w:ascii="仿宋_GB2312" w:hAnsi="仿宋_GB2312" w:cs="仿宋_GB2312" w:eastAsia="仿宋_GB2312"/>
        </w:rPr>
        <w:t>7、供应商须提供具有履行合同所必需的设备和专业技术能力的承诺函：供应商须提供具有履行合同所必需的设备和专业技术能力的承诺函</w:t>
      </w:r>
    </w:p>
    <w:p>
      <w:pPr>
        <w:pStyle w:val="null3"/>
      </w:pPr>
      <w:r>
        <w:rPr>
          <w:rFonts w:ascii="仿宋_GB2312" w:hAnsi="仿宋_GB2312" w:cs="仿宋_GB2312" w:eastAsia="仿宋_GB2312"/>
        </w:rPr>
        <w:t>8、企业资质：供应商须具备市政公用工程施工总承包三级及以上资质，并具有有效的安全生产许可证</w:t>
      </w:r>
    </w:p>
    <w:p>
      <w:pPr>
        <w:pStyle w:val="null3"/>
      </w:pPr>
      <w:r>
        <w:rPr>
          <w:rFonts w:ascii="仿宋_GB2312" w:hAnsi="仿宋_GB2312" w:cs="仿宋_GB2312" w:eastAsia="仿宋_GB2312"/>
        </w:rPr>
        <w:t>9、项目经理资质：拟派项目经理须具备市政公用工程专业二级及以上建造师资格,并具有有效的安全生产考核合格证书（安B证），且未担任其他在建工程项目的项目经理</w:t>
      </w:r>
    </w:p>
    <w:p>
      <w:pPr>
        <w:pStyle w:val="null3"/>
      </w:pPr>
      <w:r>
        <w:rPr>
          <w:rFonts w:ascii="仿宋_GB2312" w:hAnsi="仿宋_GB2312" w:cs="仿宋_GB2312" w:eastAsia="仿宋_GB2312"/>
        </w:rPr>
        <w:t>10、声明函：本项目专门面向中小企业采购，供应商须为中小企业。供应商为中小企业的，应提供《中小企业声明函》；供应商为残疾人福利性单位的，应提供《残疾人福利性单位声明函》；供应商为监狱企业的，应提供《监狱企业证明函》</w:t>
      </w:r>
    </w:p>
    <w:p>
      <w:pPr>
        <w:pStyle w:val="null3"/>
      </w:pPr>
      <w:r>
        <w:rPr>
          <w:rFonts w:ascii="仿宋_GB2312" w:hAnsi="仿宋_GB2312" w:cs="仿宋_GB2312" w:eastAsia="仿宋_GB2312"/>
        </w:rPr>
        <w:t>11、本项目不接受联合体磋商：项目不接受联合体磋商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西安市长安区杨庄街道办事处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陕西省西安市长安区杨庄街道杨庄村甲字2号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15091759805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西安昆衡项目管理有限公司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陕西省西安市长安区韦曲街办徐家寨社区2-214至2-217</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朱列秀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18009259083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采购包1：1,820,767.34元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中标价为基数，参照国家发展计划委员会“计价格【2002】1980号”文件、“发改办价格【2003】857号”文件和国家发展改革委“发改价格【2011】534号”文件规定计取（不足5000元按5000元计取）；待确定成交人后3日内由成交人一次性支付给采购代理机构。 收款账户信息： 户名：西安昆衡项目管理有限公司 开户银行：中国银行西安长安区樊川路支行 银行账号：103290501162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西安市长安区杨庄街道办事处</w:t>
      </w:r>
      <w:r>
        <w:rPr>
          <w:rFonts w:ascii="仿宋_GB2312" w:hAnsi="仿宋_GB2312" w:cs="仿宋_GB2312" w:eastAsia="仿宋_GB2312"/>
        </w:rPr>
        <w:t>和</w:t>
      </w:r>
      <w:r>
        <w:rPr>
          <w:rFonts w:ascii="仿宋_GB2312" w:hAnsi="仿宋_GB2312" w:cs="仿宋_GB2312" w:eastAsia="仿宋_GB2312"/>
        </w:rPr>
        <w:t>西安昆衡项目管理有限公司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西安市长安区杨庄街道办事处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西安昆衡项目管理有限公司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西安市长安区杨庄街道办事处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西安昆衡项目管理有限公司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联系人：朱列秀</w:t>
      </w:r>
    </w:p>
    <w:p>
      <w:pPr>
        <w:pStyle w:val="null3"/>
      </w:pPr>
      <w:r>
        <w:rPr>
          <w:rFonts w:ascii="仿宋_GB2312" w:hAnsi="仿宋_GB2312" w:cs="仿宋_GB2312" w:eastAsia="仿宋_GB2312"/>
        </w:rPr>
        <w:t>联系电话：18009259083</w:t>
      </w:r>
    </w:p>
    <w:p>
      <w:pPr>
        <w:pStyle w:val="null3"/>
      </w:pPr>
      <w:r>
        <w:rPr>
          <w:rFonts w:ascii="仿宋_GB2312" w:hAnsi="仿宋_GB2312" w:cs="仿宋_GB2312" w:eastAsia="仿宋_GB2312"/>
        </w:rPr>
        <w:t>地址：陕西省西安市长安区韦曲街办徐家寨社区2—214至2—217号商铺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1,820,767.34</w:t>
      </w:r>
    </w:p>
    <w:p>
      <w:pPr>
        <w:pStyle w:val="null3"/>
      </w:pPr>
      <w:r>
        <w:rPr>
          <w:rFonts w:ascii="仿宋_GB2312" w:hAnsi="仿宋_GB2312" w:cs="仿宋_GB2312" w:eastAsia="仿宋_GB2312"/>
        </w:rPr>
        <w:t>采购包最高限价（元）: 1,820,767.34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1,820,767.34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一、工程概况：</w:t>
            </w:r>
          </w:p>
          <w:p>
            <w:pPr>
              <w:pStyle w:val="null3"/>
            </w:pPr>
            <w:r>
              <w:rPr>
                <w:rFonts w:ascii="仿宋_GB2312" w:hAnsi="仿宋_GB2312" w:cs="仿宋_GB2312" w:eastAsia="仿宋_GB2312"/>
                <w:sz w:val="19"/>
                <w:color w:val="000000"/>
              </w:rPr>
              <w:t>长安区杨庄街道库峪河村</w:t>
            </w:r>
            <w:r>
              <w:rPr>
                <w:rFonts w:ascii="仿宋_GB2312" w:hAnsi="仿宋_GB2312" w:cs="仿宋_GB2312" w:eastAsia="仿宋_GB2312"/>
                <w:sz w:val="19"/>
                <w:color w:val="000000"/>
              </w:rPr>
              <w:t>2024年省级“千万工程”示范村项目，主要工作为道路硬化、甫十路(秦岭保护站-太兴山口)人居环境提升等。</w:t>
            </w:r>
          </w:p>
          <w:p>
            <w:pPr>
              <w:pStyle w:val="null3"/>
            </w:pPr>
            <w:r>
              <w:rPr>
                <w:rFonts w:ascii="仿宋_GB2312" w:hAnsi="仿宋_GB2312" w:cs="仿宋_GB2312" w:eastAsia="仿宋_GB2312"/>
                <w:sz w:val="19"/>
                <w:color w:val="000000"/>
              </w:rPr>
              <w:t>二、编制依据：</w:t>
            </w:r>
          </w:p>
          <w:p>
            <w:pPr>
              <w:pStyle w:val="null3"/>
            </w:pPr>
            <w:r>
              <w:rPr>
                <w:rFonts w:ascii="仿宋_GB2312" w:hAnsi="仿宋_GB2312" w:cs="仿宋_GB2312" w:eastAsia="仿宋_GB2312"/>
                <w:sz w:val="19"/>
                <w:color w:val="000000"/>
              </w:rPr>
              <w:t>1、2025年《陕西省建设工程工程量清单计价计算标准》及配套文件；</w:t>
            </w:r>
          </w:p>
          <w:p>
            <w:pPr>
              <w:pStyle w:val="null3"/>
            </w:pPr>
            <w:r>
              <w:rPr>
                <w:rFonts w:ascii="仿宋_GB2312" w:hAnsi="仿宋_GB2312" w:cs="仿宋_GB2312" w:eastAsia="仿宋_GB2312"/>
                <w:sz w:val="19"/>
                <w:color w:val="000000"/>
              </w:rPr>
              <w:t>2、长安区杨庄街道库峪河村2024年省级“千万工程”示范村项目设计图纸</w:t>
            </w:r>
          </w:p>
          <w:p>
            <w:pPr>
              <w:pStyle w:val="null3"/>
            </w:pPr>
            <w:r>
              <w:rPr>
                <w:rFonts w:ascii="仿宋_GB2312" w:hAnsi="仿宋_GB2312" w:cs="仿宋_GB2312" w:eastAsia="仿宋_GB2312"/>
                <w:sz w:val="19"/>
                <w:color w:val="000000"/>
              </w:rPr>
              <w:t>3、《陕西省房屋建筑与装饰工程基价表（2025）》、《陕西省通用安装工程基价表（2025）》、《陕西省景观绿化工程基价表（2025）》、《陕西省市政工程基价表（2025）》等；</w:t>
            </w:r>
          </w:p>
          <w:p>
            <w:pPr>
              <w:pStyle w:val="null3"/>
            </w:pPr>
            <w:r>
              <w:rPr>
                <w:rFonts w:ascii="仿宋_GB2312" w:hAnsi="仿宋_GB2312" w:cs="仿宋_GB2312" w:eastAsia="仿宋_GB2312"/>
                <w:sz w:val="19"/>
                <w:color w:val="000000"/>
              </w:rPr>
              <w:t>4、主要材料价格执行2025年第7期《陕西工程造价信息》信息价及市场价；</w:t>
            </w:r>
          </w:p>
          <w:p>
            <w:pPr>
              <w:pStyle w:val="null3"/>
            </w:pPr>
            <w:r>
              <w:rPr>
                <w:rFonts w:ascii="仿宋_GB2312" w:hAnsi="仿宋_GB2312" w:cs="仿宋_GB2312" w:eastAsia="仿宋_GB2312"/>
                <w:sz w:val="19"/>
                <w:color w:val="000000"/>
              </w:rPr>
              <w:t>5、正常的施工组织及施工方法；</w:t>
            </w:r>
          </w:p>
          <w:p>
            <w:pPr>
              <w:pStyle w:val="null3"/>
            </w:pPr>
            <w:r>
              <w:rPr>
                <w:rFonts w:ascii="仿宋_GB2312" w:hAnsi="仿宋_GB2312" w:cs="仿宋_GB2312" w:eastAsia="仿宋_GB2312"/>
                <w:sz w:val="19"/>
                <w:color w:val="000000"/>
              </w:rPr>
              <w:t>6、税金执行陕建发2019【45】号文件；</w:t>
            </w:r>
          </w:p>
          <w:p>
            <w:pPr>
              <w:pStyle w:val="null3"/>
            </w:pPr>
            <w:r>
              <w:rPr>
                <w:rFonts w:ascii="仿宋_GB2312" w:hAnsi="仿宋_GB2312" w:cs="仿宋_GB2312" w:eastAsia="仿宋_GB2312"/>
                <w:sz w:val="19"/>
                <w:color w:val="000000"/>
              </w:rPr>
              <w:t>三、有关说明：</w:t>
            </w:r>
          </w:p>
          <w:p>
            <w:pPr>
              <w:pStyle w:val="null3"/>
            </w:pPr>
            <w:r>
              <w:rPr>
                <w:rFonts w:ascii="仿宋_GB2312" w:hAnsi="仿宋_GB2312" w:cs="仿宋_GB2312" w:eastAsia="仿宋_GB2312"/>
                <w:sz w:val="19"/>
                <w:color w:val="000000"/>
              </w:rPr>
              <w:t>1、本工程采用广联达云计价平台GCCP7.0，版本号：7.5000.23.1；</w:t>
            </w:r>
          </w:p>
          <w:p>
            <w:pPr>
              <w:pStyle w:val="null3"/>
            </w:pPr>
            <w:r>
              <w:rPr>
                <w:rFonts w:ascii="仿宋_GB2312" w:hAnsi="仿宋_GB2312" w:cs="仿宋_GB2312" w:eastAsia="仿宋_GB2312"/>
                <w:sz w:val="19"/>
                <w:color w:val="000000"/>
              </w:rPr>
              <w:t>2、本工程暂列金额9.5万元计入到其他项目费。</w:t>
            </w:r>
          </w:p>
          <w:p>
            <w:pPr>
              <w:pStyle w:val="null3"/>
            </w:pPr>
            <w:r>
              <w:rPr>
                <w:rFonts w:ascii="仿宋_GB2312" w:hAnsi="仿宋_GB2312" w:cs="仿宋_GB2312" w:eastAsia="仿宋_GB2312"/>
                <w:sz w:val="19"/>
                <w:color w:val="000000"/>
              </w:rPr>
              <w:t>工程量清单详见附件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人在领取成交通知书时提供一正两副纸质响应文件及电子响应文件二份（U盘，电子响应文件为Word版本和PDF版本，PDF文件为签字、盖章的完整正本扫描件）。装订：纸质响应文件采用书籍（胶装）方式装订成册，与电子响应文件一致的签字、盖章的完整版本。 工期：60日历天。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关于财务会计制度的证明材料｛注：可提供2023年度或2024年度完整的财务审计报告，或开标时间前六个月内银行出具的资信证明。其他组织和自然人提供银行出具的资信证明。｝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供应商须为具有独立承担民事责任能力的法人、其他组织或自然人，并出具合法有效的营业执照或事业单位法人证书等国家规定的相关证明，自然人参与的提供其身份证明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法定代表人授权书（附法定代表人、被授权人身份证复印件加盖公章）及被授权人身份证原件（法定代表人直接参加磋商，须提供法定代表人身份证明及身份证复印件加盖公章）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供应商须提供具有履行合同所必需的设备和专业技术能力的承诺函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拟派项目经理须具备市政公用工程专业二级及以上建造师资格,并具有有效的安全生产考核合格证书（安B证），且未担任其他在建工程项目的项目经理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供应商须为中小企业。供应商为中小企业的，应提供《中小企业声明函》；供应商为残疾人福利性单位的，应提供《残疾人福利性单位声明函》；供应商为监狱企业的，应提供《监狱企业证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项目名称、项目编号与本项目完全一致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 盖章</w:t>
            </w:r>
          </w:p>
        </w:tc>
        <w:tc>
          <w:tcPr>
            <w:tcW w:type="dxa" w:w="3322"/>
          </w:tcPr>
          <w:p>
            <w:pPr>
              <w:pStyle w:val="null3"/>
            </w:pPr>
            <w:r>
              <w:rPr>
                <w:rFonts w:ascii="仿宋_GB2312" w:hAnsi="仿宋_GB2312" w:cs="仿宋_GB2312" w:eastAsia="仿宋_GB2312"/>
              </w:rPr>
              <w:t>响应文件的签署、盖章符合磋商文件要求，且无遗漏。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供应商提供2022年1月以来类似项目业绩合同（以合同签订时间为准），每份得2.5分，满分10分。 （注：以上证明文件在磋商响应文件中附业绩合同扫描件并加盖公章。）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施工方案与技术措施：完全符合要求 7-10 分；基本满足要求 4-7 分；不满足要求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工程质量的技术组织措施：完全符合要求 7-10 分；基本满足要求 4-7 分；不满足要求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文明施工、环境保护及现场扬尘治污防治措施：完全符合要求7-10 分；基本满足要求 4-7 分；不满足要求求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施工进度计划及工期保证措施：完全符合要求 7-10 分；基本满足要求 4-7 分；不满足要求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施工机械配备和材料投入计划：完全符合要求 7-10 分；基本满足要求 4-7 分；不满足要求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项目管理及技术力量配备：完全符合要求 7-10 分；基本满足要求 4-7 分；不满足要求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价格得分采用低价优先法计算，即满足竞争性磋商文件要求且报价最低的供应商的价格为评标基准价，其价格得分为满分。其他供应商的价格得分统一按照下列公式计算： 报价得分=（评标基准价/有效报价）×价格权重（30%）×100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