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46C64">
      <w:pPr>
        <w:pStyle w:val="7"/>
        <w:bidi w:val="0"/>
        <w:rPr>
          <w:rFonts w:hint="eastAsia"/>
          <w:highlight w:val="none"/>
        </w:rPr>
      </w:pPr>
    </w:p>
    <w:p w14:paraId="3FDB8C7D">
      <w:pPr>
        <w:pStyle w:val="7"/>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lang w:eastAsia="zh-CN"/>
        </w:rPr>
      </w:pPr>
    </w:p>
    <w:p w14:paraId="1B98AAD0">
      <w:pPr>
        <w:pStyle w:val="7"/>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lang w:eastAsia="zh-CN"/>
        </w:rPr>
      </w:pPr>
      <w:r>
        <w:rPr>
          <w:rFonts w:hint="eastAsia" w:ascii="仿宋" w:hAnsi="仿宋" w:eastAsia="仿宋" w:cs="仿宋"/>
          <w:b/>
          <w:bCs/>
          <w:spacing w:val="-7"/>
          <w:sz w:val="52"/>
          <w:szCs w:val="52"/>
          <w:highlight w:val="none"/>
          <w:lang w:eastAsia="zh-CN"/>
        </w:rPr>
        <w:t>西安市长安区文化中心办公大楼物业管理项目</w:t>
      </w:r>
    </w:p>
    <w:p w14:paraId="27BF4D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63EBAF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46A030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40"/>
          <w:szCs w:val="40"/>
          <w:highlight w:val="none"/>
        </w:rPr>
      </w:pPr>
    </w:p>
    <w:p w14:paraId="0A5832E2">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z w:val="40"/>
          <w:szCs w:val="40"/>
          <w:highlight w:val="none"/>
        </w:rPr>
      </w:pPr>
      <w:r>
        <w:rPr>
          <w:rFonts w:hint="eastAsia" w:ascii="仿宋" w:hAnsi="仿宋" w:eastAsia="仿宋" w:cs="仿宋"/>
          <w:b/>
          <w:bCs/>
          <w:spacing w:val="-5"/>
          <w:position w:val="-2"/>
          <w:sz w:val="40"/>
          <w:szCs w:val="40"/>
          <w:highlight w:val="none"/>
          <w:lang w:eastAsia="zh-CN"/>
        </w:rPr>
        <w:t>（</w:t>
      </w:r>
      <w:r>
        <w:rPr>
          <w:rFonts w:hint="eastAsia" w:ascii="仿宋" w:hAnsi="仿宋" w:eastAsia="仿宋" w:cs="仿宋"/>
          <w:b/>
          <w:bCs/>
          <w:spacing w:val="-5"/>
          <w:position w:val="-2"/>
          <w:sz w:val="40"/>
          <w:szCs w:val="40"/>
          <w:highlight w:val="none"/>
        </w:rPr>
        <w:t>项目编号：</w:t>
      </w:r>
      <w:r>
        <w:rPr>
          <w:rFonts w:hint="eastAsia" w:ascii="仿宋" w:hAnsi="仿宋" w:eastAsia="仿宋" w:cs="仿宋"/>
          <w:b/>
          <w:bCs/>
          <w:spacing w:val="-5"/>
          <w:position w:val="-2"/>
          <w:sz w:val="40"/>
          <w:szCs w:val="40"/>
          <w:highlight w:val="none"/>
          <w:lang w:val="en-US" w:eastAsia="zh-CN"/>
        </w:rPr>
        <w:t xml:space="preserve">   </w:t>
      </w:r>
      <w:r>
        <w:rPr>
          <w:rFonts w:hint="eastAsia" w:ascii="仿宋" w:hAnsi="仿宋" w:eastAsia="仿宋" w:cs="仿宋"/>
          <w:b/>
          <w:bCs/>
          <w:spacing w:val="-5"/>
          <w:position w:val="-2"/>
          <w:sz w:val="40"/>
          <w:szCs w:val="40"/>
          <w:highlight w:val="none"/>
          <w:lang w:eastAsia="zh-CN"/>
        </w:rPr>
        <w:t>）</w:t>
      </w:r>
    </w:p>
    <w:p w14:paraId="02DD55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62A5B615">
      <w:pPr>
        <w:pStyle w:val="7"/>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0" w:firstLineChars="0"/>
        <w:jc w:val="both"/>
        <w:textAlignment w:val="baseline"/>
        <w:rPr>
          <w:rFonts w:hint="eastAsia" w:ascii="仿宋" w:hAnsi="仿宋" w:eastAsia="仿宋" w:cs="仿宋"/>
          <w:b/>
          <w:bCs/>
          <w:spacing w:val="-23"/>
          <w:sz w:val="28"/>
          <w:szCs w:val="28"/>
          <w:highlight w:val="none"/>
        </w:rPr>
      </w:pPr>
    </w:p>
    <w:p w14:paraId="2B389E56">
      <w:pPr>
        <w:pStyle w:val="7"/>
        <w:keepNext w:val="0"/>
        <w:keepLines w:val="0"/>
        <w:pageBreakBefore w:val="0"/>
        <w:widowControl/>
        <w:kinsoku w:val="0"/>
        <w:wordWrap/>
        <w:overflowPunct/>
        <w:topLinePunct w:val="0"/>
        <w:autoSpaceDE w:val="0"/>
        <w:autoSpaceDN w:val="0"/>
        <w:bidi w:val="0"/>
        <w:adjustRightInd w:val="0"/>
        <w:snapToGrid w:val="0"/>
        <w:spacing w:line="720" w:lineRule="auto"/>
        <w:ind w:right="0" w:rightChars="0" w:firstLine="1124" w:firstLineChars="400"/>
        <w:jc w:val="both"/>
        <w:textAlignment w:val="baseline"/>
        <w:rPr>
          <w:rFonts w:hint="eastAsia" w:ascii="仿宋" w:hAnsi="仿宋" w:eastAsia="仿宋" w:cs="仿宋"/>
          <w:b/>
          <w:bCs/>
          <w:sz w:val="28"/>
          <w:szCs w:val="28"/>
          <w:highlight w:val="none"/>
          <w:lang w:eastAsia="zh-CN"/>
        </w:rPr>
      </w:pPr>
      <w:r>
        <w:rPr>
          <w:rFonts w:hint="eastAsia" w:ascii="仿宋" w:hAnsi="仿宋" w:eastAsia="仿宋" w:cs="仿宋"/>
          <w:b/>
          <w:bCs/>
          <w:sz w:val="28"/>
          <w:szCs w:val="28"/>
          <w:highlight w:val="none"/>
        </w:rPr>
        <w:t>甲  方</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lang w:val="en-US" w:eastAsia="zh-CN"/>
        </w:rPr>
        <w:t>委托方</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rPr>
        <w:t>：</w:t>
      </w:r>
      <w:r>
        <w:rPr>
          <w:rFonts w:hint="eastAsia" w:ascii="仿宋" w:hAnsi="仿宋" w:eastAsia="仿宋" w:cs="仿宋"/>
          <w:b/>
          <w:bCs/>
          <w:sz w:val="28"/>
          <w:szCs w:val="28"/>
          <w:highlight w:val="none"/>
          <w:u w:val="single"/>
          <w:lang w:eastAsia="zh-CN"/>
        </w:rPr>
        <w:t>西安市长安区文化和旅游体育局</w:t>
      </w:r>
    </w:p>
    <w:p w14:paraId="4281840D">
      <w:pPr>
        <w:pStyle w:val="7"/>
        <w:keepNext w:val="0"/>
        <w:keepLines w:val="0"/>
        <w:pageBreakBefore w:val="0"/>
        <w:widowControl/>
        <w:kinsoku w:val="0"/>
        <w:wordWrap/>
        <w:overflowPunct/>
        <w:topLinePunct w:val="0"/>
        <w:autoSpaceDE w:val="0"/>
        <w:autoSpaceDN w:val="0"/>
        <w:bidi w:val="0"/>
        <w:adjustRightInd w:val="0"/>
        <w:snapToGrid w:val="0"/>
        <w:spacing w:line="720" w:lineRule="auto"/>
        <w:ind w:right="0" w:rightChars="0" w:firstLine="1124" w:firstLineChars="400"/>
        <w:jc w:val="both"/>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 xml:space="preserve">乙 </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方</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lang w:val="en-US" w:eastAsia="zh-CN"/>
        </w:rPr>
        <w:t>受托方</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rPr>
        <w:t>：</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u w:val="single"/>
          <w:lang w:val="en-US" w:eastAsia="zh-CN"/>
        </w:rPr>
        <w:t xml:space="preserve">    </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u w:val="single"/>
          <w:lang w:val="en-US" w:eastAsia="zh-CN"/>
        </w:rPr>
        <w:t xml:space="preserve"> </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rPr>
        <w:t xml:space="preserve">    </w:t>
      </w:r>
    </w:p>
    <w:p w14:paraId="2A029895">
      <w:pPr>
        <w:pStyle w:val="7"/>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0" w:firstLineChars="0"/>
        <w:jc w:val="both"/>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1082E48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8"/>
          <w:szCs w:val="28"/>
          <w:highlight w:val="none"/>
        </w:rPr>
      </w:pPr>
    </w:p>
    <w:p w14:paraId="424CEFCE">
      <w:pPr>
        <w:pStyle w:val="7"/>
        <w:keepNext w:val="0"/>
        <w:keepLines w:val="0"/>
        <w:pageBreakBefore w:val="0"/>
        <w:widowControl/>
        <w:tabs>
          <w:tab w:val="left" w:pos="735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pacing w:val="7"/>
          <w:sz w:val="36"/>
          <w:szCs w:val="36"/>
          <w:highlight w:val="none"/>
        </w:rPr>
      </w:pPr>
      <w:r>
        <w:rPr>
          <w:rFonts w:hint="eastAsia" w:ascii="仿宋" w:hAnsi="仿宋" w:eastAsia="仿宋" w:cs="仿宋"/>
          <w:b/>
          <w:bCs/>
          <w:spacing w:val="35"/>
          <w:sz w:val="36"/>
          <w:szCs w:val="36"/>
          <w:highlight w:val="none"/>
        </w:rPr>
        <w:t>202</w:t>
      </w:r>
      <w:r>
        <w:rPr>
          <w:rFonts w:hint="eastAsia" w:ascii="仿宋" w:hAnsi="仿宋" w:eastAsia="仿宋" w:cs="仿宋"/>
          <w:b/>
          <w:bCs/>
          <w:spacing w:val="35"/>
          <w:sz w:val="36"/>
          <w:szCs w:val="36"/>
          <w:highlight w:val="none"/>
          <w:lang w:val="en-US" w:eastAsia="zh-CN"/>
        </w:rPr>
        <w:t>5</w:t>
      </w:r>
      <w:r>
        <w:rPr>
          <w:rFonts w:hint="eastAsia" w:ascii="仿宋" w:hAnsi="仿宋" w:eastAsia="仿宋" w:cs="仿宋"/>
          <w:b/>
          <w:bCs/>
          <w:spacing w:val="35"/>
          <w:sz w:val="36"/>
          <w:szCs w:val="36"/>
          <w:highlight w:val="none"/>
        </w:rPr>
        <w:t>年</w:t>
      </w:r>
      <w:r>
        <w:rPr>
          <w:rFonts w:hint="eastAsia" w:ascii="仿宋" w:hAnsi="仿宋" w:eastAsia="仿宋" w:cs="仿宋"/>
          <w:b/>
          <w:bCs/>
          <w:spacing w:val="35"/>
          <w:sz w:val="36"/>
          <w:szCs w:val="36"/>
          <w:highlight w:val="none"/>
          <w:lang w:val="en-US" w:eastAsia="zh-CN"/>
        </w:rPr>
        <w:t xml:space="preserve"> </w:t>
      </w:r>
      <w:r>
        <w:rPr>
          <w:rFonts w:hint="eastAsia" w:ascii="仿宋" w:hAnsi="仿宋" w:eastAsia="仿宋" w:cs="仿宋"/>
          <w:b/>
          <w:bCs/>
          <w:spacing w:val="35"/>
          <w:sz w:val="36"/>
          <w:szCs w:val="36"/>
          <w:highlight w:val="none"/>
        </w:rPr>
        <w:t>月</w:t>
      </w:r>
      <w:r>
        <w:rPr>
          <w:rFonts w:hint="eastAsia" w:ascii="仿宋" w:hAnsi="仿宋" w:eastAsia="仿宋" w:cs="仿宋"/>
          <w:b/>
          <w:bCs/>
          <w:spacing w:val="35"/>
          <w:sz w:val="36"/>
          <w:szCs w:val="36"/>
          <w:highlight w:val="none"/>
          <w:lang w:val="en-US" w:eastAsia="zh-CN"/>
        </w:rPr>
        <w:t xml:space="preserve"> </w:t>
      </w:r>
      <w:r>
        <w:rPr>
          <w:rFonts w:hint="eastAsia" w:ascii="仿宋" w:hAnsi="仿宋" w:eastAsia="仿宋" w:cs="仿宋"/>
          <w:b/>
          <w:bCs/>
          <w:spacing w:val="35"/>
          <w:sz w:val="36"/>
          <w:szCs w:val="36"/>
          <w:highlight w:val="none"/>
        </w:rPr>
        <w:t>日</w:t>
      </w:r>
    </w:p>
    <w:p w14:paraId="0C5799CC">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z w:val="36"/>
          <w:szCs w:val="36"/>
          <w:highlight w:val="none"/>
        </w:rPr>
      </w:pPr>
      <w:r>
        <w:rPr>
          <w:rFonts w:hint="eastAsia" w:ascii="仿宋" w:hAnsi="仿宋" w:eastAsia="仿宋" w:cs="仿宋"/>
          <w:b/>
          <w:bCs/>
          <w:spacing w:val="36"/>
          <w:sz w:val="36"/>
          <w:szCs w:val="36"/>
          <w:highlight w:val="none"/>
        </w:rPr>
        <w:t>中国西安</w:t>
      </w:r>
    </w:p>
    <w:p w14:paraId="0EAB979D">
      <w:pPr>
        <w:rPr>
          <w:rFonts w:hint="eastAsia" w:ascii="仿宋" w:hAnsi="仿宋" w:eastAsia="仿宋" w:cs="仿宋"/>
          <w:kern w:val="0"/>
          <w:sz w:val="24"/>
          <w:highlight w:val="none"/>
        </w:rPr>
      </w:pPr>
      <w:r>
        <w:rPr>
          <w:rFonts w:hint="eastAsia" w:ascii="仿宋" w:hAnsi="仿宋" w:eastAsia="仿宋" w:cs="仿宋"/>
          <w:kern w:val="0"/>
          <w:sz w:val="24"/>
          <w:highlight w:val="none"/>
        </w:rPr>
        <w:br w:type="page"/>
      </w:r>
    </w:p>
    <w:p w14:paraId="5CE60B74">
      <w:pPr>
        <w:pStyle w:val="3"/>
        <w:keepNext w:val="0"/>
        <w:keepLines w:val="0"/>
        <w:pageBreakBefore w:val="0"/>
        <w:widowControl/>
        <w:numPr>
          <w:ilvl w:val="1"/>
          <w:numId w:val="0"/>
        </w:numPr>
        <w:shd w:val="clear"/>
        <w:wordWrap/>
        <w:overflowPunct/>
        <w:topLinePunct w:val="0"/>
        <w:bidi w:val="0"/>
        <w:snapToGrid w:val="0"/>
        <w:spacing w:line="360" w:lineRule="auto"/>
        <w:rPr>
          <w:rFonts w:hint="eastAsia" w:ascii="仿宋" w:hAnsi="仿宋" w:eastAsia="仿宋" w:cs="仿宋"/>
          <w:color w:val="auto"/>
          <w:sz w:val="24"/>
          <w:szCs w:val="24"/>
          <w:highlight w:val="none"/>
        </w:rPr>
      </w:pPr>
      <w:bookmarkStart w:id="0" w:name="_Toc30469"/>
      <w:r>
        <w:rPr>
          <w:rFonts w:hint="eastAsia" w:ascii="仿宋" w:hAnsi="仿宋" w:eastAsia="仿宋" w:cs="仿宋"/>
          <w:color w:val="auto"/>
          <w:sz w:val="24"/>
          <w:szCs w:val="24"/>
          <w:highlight w:val="none"/>
        </w:rPr>
        <w:t>第一章  总　则</w:t>
      </w:r>
      <w:bookmarkEnd w:id="0"/>
    </w:p>
    <w:p w14:paraId="6A802A08">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第一条  </w:t>
      </w:r>
      <w:r>
        <w:rPr>
          <w:rFonts w:hint="eastAsia" w:ascii="仿宋" w:hAnsi="仿宋" w:eastAsia="仿宋" w:cs="仿宋"/>
          <w:bCs/>
          <w:color w:val="auto"/>
          <w:sz w:val="24"/>
          <w:szCs w:val="24"/>
          <w:highlight w:val="none"/>
        </w:rPr>
        <w:t>本合同当事人</w:t>
      </w:r>
    </w:p>
    <w:p w14:paraId="57A87279">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委托方（以下简称甲方）：</w:t>
      </w:r>
      <w:r>
        <w:rPr>
          <w:rFonts w:hint="eastAsia" w:ascii="仿宋" w:hAnsi="仿宋" w:eastAsia="仿宋" w:cs="仿宋"/>
          <w:color w:val="auto"/>
          <w:spacing w:val="-2"/>
          <w:sz w:val="24"/>
          <w:szCs w:val="24"/>
          <w:highlight w:val="none"/>
          <w:lang w:eastAsia="zh-CN"/>
        </w:rPr>
        <w:t>西安市长安区文化和旅游体育局</w:t>
      </w:r>
    </w:p>
    <w:p w14:paraId="4556547B">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lang w:val="en-US" w:eastAsia="zh-CN"/>
        </w:rPr>
        <w:t>西安市长安区西长安街669号长安区行政中心西楼515室</w:t>
      </w:r>
    </w:p>
    <w:p w14:paraId="79DEF212">
      <w:pPr>
        <w:keepNext w:val="0"/>
        <w:keepLines w:val="0"/>
        <w:pageBreakBefore w:val="0"/>
        <w:widowControl/>
        <w:shd w:val="clear"/>
        <w:wordWrap/>
        <w:overflowPunct/>
        <w:topLinePunct w:val="0"/>
        <w:bidi w:val="0"/>
        <w:snapToGrid w:val="0"/>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负责人：</w:t>
      </w:r>
    </w:p>
    <w:p w14:paraId="07E2A3A4">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5D0E2C95">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受委托方（以下简称乙方）：</w:t>
      </w:r>
    </w:p>
    <w:p w14:paraId="6E0B2A09">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p w14:paraId="05E32F23">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负责人：</w:t>
      </w:r>
    </w:p>
    <w:p w14:paraId="4DE78566">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520ADEA1">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鉴证方：</w:t>
      </w:r>
    </w:p>
    <w:p w14:paraId="3BD02BE6">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鉴证方就甲方所需服务，</w:t>
      </w:r>
      <w:r>
        <w:rPr>
          <w:rFonts w:hint="eastAsia" w:ascii="仿宋" w:hAnsi="仿宋" w:eastAsia="仿宋" w:cs="仿宋"/>
          <w:spacing w:val="-2"/>
          <w:sz w:val="24"/>
          <w:szCs w:val="24"/>
          <w:highlight w:val="none"/>
        </w:rPr>
        <w:t>按照政府采购程序组织竞争性磋商</w:t>
      </w:r>
      <w:r>
        <w:rPr>
          <w:rFonts w:hint="eastAsia" w:ascii="仿宋" w:hAnsi="仿宋" w:eastAsia="仿宋" w:cs="仿宋"/>
          <w:sz w:val="24"/>
          <w:szCs w:val="24"/>
          <w:highlight w:val="none"/>
        </w:rPr>
        <w:t>，确定乙方为</w:t>
      </w:r>
      <w:r>
        <w:rPr>
          <w:rFonts w:hint="eastAsia" w:ascii="仿宋" w:hAnsi="仿宋" w:eastAsia="仿宋" w:cs="仿宋"/>
          <w:sz w:val="24"/>
          <w:szCs w:val="24"/>
          <w:highlight w:val="none"/>
          <w:lang w:eastAsia="zh-CN"/>
        </w:rPr>
        <w:t>西安市长安区文化中心办公大楼物业管理项目</w:t>
      </w:r>
      <w:r>
        <w:rPr>
          <w:rFonts w:hint="eastAsia" w:ascii="仿宋" w:hAnsi="仿宋" w:eastAsia="仿宋" w:cs="仿宋"/>
          <w:sz w:val="24"/>
          <w:szCs w:val="24"/>
          <w:highlight w:val="none"/>
        </w:rPr>
        <w:t>中标单位。依据《中华人民共和国政府采购法》、《中华人民共和国民法典》以及</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val="en-US" w:eastAsia="zh-CN"/>
        </w:rPr>
        <w:t>成交</w:t>
      </w:r>
      <w:r>
        <w:rPr>
          <w:rFonts w:hint="eastAsia" w:ascii="仿宋" w:hAnsi="仿宋" w:eastAsia="仿宋" w:cs="仿宋"/>
          <w:sz w:val="24"/>
          <w:szCs w:val="24"/>
          <w:highlight w:val="none"/>
        </w:rPr>
        <w:t>通知书，经甲、乙双方协商，鉴证方确认，达成如下合同条款。</w:t>
      </w:r>
    </w:p>
    <w:p w14:paraId="370E2F01">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第二条  所服务物业的基本情况</w:t>
      </w:r>
    </w:p>
    <w:p w14:paraId="4577D46F">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物业类型：</w:t>
      </w:r>
    </w:p>
    <w:p w14:paraId="778B1F1C">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座落位置：长安区文苑中路。</w:t>
      </w:r>
    </w:p>
    <w:p w14:paraId="2D7ED481">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第三条  </w:t>
      </w:r>
      <w:r>
        <w:rPr>
          <w:rFonts w:hint="eastAsia" w:ascii="仿宋" w:hAnsi="仿宋" w:eastAsia="仿宋" w:cs="仿宋"/>
          <w:sz w:val="24"/>
          <w:szCs w:val="24"/>
          <w:highlight w:val="none"/>
        </w:rPr>
        <w:t>乙方提供服务的受益人为物业使用人，本物业的使用人均应履行本合同，承担相应的责任。</w:t>
      </w:r>
    </w:p>
    <w:p w14:paraId="784667AA">
      <w:pPr>
        <w:pStyle w:val="3"/>
        <w:keepNext w:val="0"/>
        <w:keepLines w:val="0"/>
        <w:pageBreakBefore w:val="0"/>
        <w:widowControl/>
        <w:numPr>
          <w:ilvl w:val="1"/>
          <w:numId w:val="0"/>
        </w:numPr>
        <w:shd w:val="clear"/>
        <w:wordWrap/>
        <w:overflowPunct/>
        <w:topLinePunct w:val="0"/>
        <w:bidi w:val="0"/>
        <w:snapToGrid w:val="0"/>
        <w:spacing w:line="360" w:lineRule="auto"/>
        <w:rPr>
          <w:rFonts w:hint="eastAsia" w:ascii="仿宋" w:hAnsi="仿宋" w:eastAsia="仿宋" w:cs="仿宋"/>
          <w:sz w:val="24"/>
          <w:szCs w:val="24"/>
          <w:highlight w:val="none"/>
        </w:rPr>
      </w:pPr>
      <w:bookmarkStart w:id="1" w:name="_Toc25626"/>
      <w:bookmarkStart w:id="2" w:name="_Toc10973"/>
      <w:bookmarkStart w:id="3" w:name="_Toc31158_WPSOffice_Level2"/>
      <w:bookmarkStart w:id="4" w:name="_Toc7586"/>
      <w:r>
        <w:rPr>
          <w:rFonts w:hint="eastAsia" w:ascii="仿宋" w:hAnsi="仿宋" w:eastAsia="仿宋" w:cs="仿宋"/>
          <w:sz w:val="24"/>
          <w:szCs w:val="24"/>
          <w:highlight w:val="none"/>
        </w:rPr>
        <w:t>第二章  委托管理事项</w:t>
      </w:r>
      <w:bookmarkEnd w:id="1"/>
      <w:bookmarkEnd w:id="2"/>
      <w:bookmarkEnd w:id="3"/>
      <w:bookmarkEnd w:id="4"/>
    </w:p>
    <w:p w14:paraId="3B3F28BF">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第四条</w:t>
      </w:r>
      <w:r>
        <w:rPr>
          <w:rFonts w:hint="eastAsia" w:ascii="仿宋" w:hAnsi="仿宋" w:eastAsia="仿宋" w:cs="仿宋"/>
          <w:sz w:val="24"/>
          <w:szCs w:val="24"/>
          <w:highlight w:val="none"/>
        </w:rPr>
        <w:t xml:space="preserve">  物业服务委托内容</w:t>
      </w:r>
      <w:bookmarkStart w:id="5" w:name="_Toc10710_WPSOffice_Level2"/>
      <w:r>
        <w:rPr>
          <w:rFonts w:hint="eastAsia" w:ascii="仿宋" w:hAnsi="仿宋" w:eastAsia="仿宋" w:cs="仿宋"/>
          <w:sz w:val="24"/>
          <w:szCs w:val="24"/>
          <w:highlight w:val="none"/>
        </w:rPr>
        <w:t>：</w:t>
      </w:r>
      <w:r>
        <w:rPr>
          <w:rFonts w:hint="eastAsia" w:ascii="仿宋" w:hAnsi="仿宋" w:eastAsia="仿宋" w:cs="仿宋"/>
          <w:bCs/>
          <w:sz w:val="24"/>
          <w:szCs w:val="24"/>
          <w:highlight w:val="none"/>
          <w:lang w:eastAsia="zh-CN"/>
        </w:rPr>
        <w:t>西安市长安区文化和旅游体育局</w:t>
      </w:r>
      <w:r>
        <w:rPr>
          <w:rFonts w:hint="eastAsia" w:ascii="仿宋" w:hAnsi="仿宋" w:eastAsia="仿宋" w:cs="仿宋"/>
          <w:bCs/>
          <w:sz w:val="24"/>
          <w:szCs w:val="24"/>
          <w:highlight w:val="none"/>
        </w:rPr>
        <w:t>物业服务工作，主要包含：房屋日常养护维修；给排水设备运行维护；供电设备及发电机组管理维护；环境卫生管理；除四害管理及室内外环境卫生管理；保安与消防日常管理；电梯运行及日常巡查维护；停车场秩序管理；中央空调管理维护（供暖、制冷）等。</w:t>
      </w:r>
    </w:p>
    <w:p w14:paraId="2C66F3FB">
      <w:pPr>
        <w:pStyle w:val="3"/>
        <w:keepNext w:val="0"/>
        <w:keepLines w:val="0"/>
        <w:pageBreakBefore w:val="0"/>
        <w:widowControl/>
        <w:numPr>
          <w:ilvl w:val="1"/>
          <w:numId w:val="0"/>
        </w:numPr>
        <w:shd w:val="clear"/>
        <w:wordWrap/>
        <w:overflowPunct/>
        <w:topLinePunct w:val="0"/>
        <w:bidi w:val="0"/>
        <w:snapToGrid w:val="0"/>
        <w:spacing w:line="360" w:lineRule="auto"/>
        <w:rPr>
          <w:rFonts w:hint="eastAsia" w:ascii="仿宋" w:hAnsi="仿宋" w:eastAsia="仿宋" w:cs="仿宋"/>
          <w:sz w:val="24"/>
          <w:szCs w:val="24"/>
          <w:highlight w:val="none"/>
        </w:rPr>
      </w:pPr>
      <w:bookmarkStart w:id="6" w:name="_Toc30521"/>
      <w:bookmarkStart w:id="7" w:name="_Toc7783"/>
      <w:bookmarkStart w:id="8" w:name="_Toc6722"/>
      <w:r>
        <w:rPr>
          <w:rFonts w:hint="eastAsia" w:ascii="仿宋" w:hAnsi="仿宋" w:eastAsia="仿宋" w:cs="仿宋"/>
          <w:sz w:val="24"/>
          <w:szCs w:val="24"/>
          <w:highlight w:val="none"/>
        </w:rPr>
        <w:t xml:space="preserve">第三章  </w:t>
      </w:r>
      <w:r>
        <w:rPr>
          <w:rFonts w:hint="eastAsia" w:ascii="仿宋" w:hAnsi="仿宋" w:cs="仿宋"/>
          <w:sz w:val="24"/>
          <w:szCs w:val="24"/>
          <w:highlight w:val="none"/>
          <w:lang w:eastAsia="zh-CN"/>
        </w:rPr>
        <w:t>服务</w:t>
      </w:r>
      <w:r>
        <w:rPr>
          <w:rFonts w:hint="eastAsia" w:ascii="仿宋" w:hAnsi="仿宋" w:eastAsia="仿宋" w:cs="仿宋"/>
          <w:sz w:val="24"/>
          <w:szCs w:val="24"/>
          <w:highlight w:val="none"/>
        </w:rPr>
        <w:t>期限</w:t>
      </w:r>
      <w:bookmarkEnd w:id="5"/>
      <w:bookmarkEnd w:id="6"/>
      <w:bookmarkEnd w:id="7"/>
      <w:bookmarkEnd w:id="8"/>
    </w:p>
    <w:p w14:paraId="488B5670">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第五条</w:t>
      </w:r>
      <w:r>
        <w:rPr>
          <w:rFonts w:hint="eastAsia" w:ascii="仿宋" w:hAnsi="仿宋" w:eastAsia="仿宋" w:cs="仿宋"/>
          <w:sz w:val="24"/>
          <w:szCs w:val="24"/>
          <w:highlight w:val="none"/>
        </w:rPr>
        <w:t>　</w:t>
      </w:r>
      <w:r>
        <w:rPr>
          <w:rFonts w:hint="eastAsia" w:ascii="仿宋" w:hAnsi="仿宋" w:eastAsia="仿宋" w:cs="仿宋"/>
          <w:sz w:val="24"/>
          <w:szCs w:val="24"/>
          <w:highlight w:val="none"/>
          <w:lang w:val="en-US" w:eastAsia="zh-CN"/>
        </w:rPr>
        <w:t>服务期限：一年</w:t>
      </w:r>
      <w:r>
        <w:rPr>
          <w:rFonts w:hint="eastAsia" w:ascii="仿宋" w:hAnsi="仿宋" w:eastAsia="仿宋" w:cs="仿宋"/>
          <w:sz w:val="24"/>
          <w:szCs w:val="24"/>
          <w:highlight w:val="none"/>
        </w:rPr>
        <w:t>。</w:t>
      </w:r>
    </w:p>
    <w:p w14:paraId="75782575">
      <w:pPr>
        <w:pStyle w:val="3"/>
        <w:keepNext w:val="0"/>
        <w:keepLines w:val="0"/>
        <w:pageBreakBefore w:val="0"/>
        <w:widowControl/>
        <w:numPr>
          <w:ilvl w:val="1"/>
          <w:numId w:val="0"/>
        </w:numPr>
        <w:shd w:val="clear"/>
        <w:wordWrap/>
        <w:overflowPunct/>
        <w:topLinePunct w:val="0"/>
        <w:bidi w:val="0"/>
        <w:snapToGrid w:val="0"/>
        <w:spacing w:line="360" w:lineRule="auto"/>
        <w:rPr>
          <w:rFonts w:hint="eastAsia" w:ascii="仿宋" w:hAnsi="仿宋" w:eastAsia="仿宋" w:cs="仿宋"/>
          <w:sz w:val="24"/>
          <w:szCs w:val="24"/>
          <w:highlight w:val="none"/>
        </w:rPr>
      </w:pPr>
      <w:bookmarkStart w:id="9" w:name="_Toc249_WPSOffice_Level2"/>
      <w:bookmarkStart w:id="10" w:name="_Toc16837"/>
      <w:bookmarkStart w:id="11" w:name="_Toc31804"/>
      <w:bookmarkStart w:id="12" w:name="_Toc26260"/>
      <w:r>
        <w:rPr>
          <w:rFonts w:hint="eastAsia" w:ascii="仿宋" w:hAnsi="仿宋" w:eastAsia="仿宋" w:cs="仿宋"/>
          <w:sz w:val="24"/>
          <w:szCs w:val="24"/>
          <w:highlight w:val="none"/>
        </w:rPr>
        <w:t>第四章  物业管理费用</w:t>
      </w:r>
      <w:bookmarkEnd w:id="9"/>
      <w:bookmarkEnd w:id="10"/>
      <w:bookmarkEnd w:id="11"/>
      <w:bookmarkEnd w:id="12"/>
    </w:p>
    <w:p w14:paraId="65B07F13">
      <w:pPr>
        <w:keepNext w:val="0"/>
        <w:keepLines w:val="0"/>
        <w:pageBreakBefore w:val="0"/>
        <w:widowControl/>
        <w:shd w:val="clear"/>
        <w:wordWrap/>
        <w:overflowPunct/>
        <w:topLinePunct w:val="0"/>
        <w:bidi w:val="0"/>
        <w:snapToGrid w:val="0"/>
        <w:spacing w:line="360" w:lineRule="auto"/>
        <w:ind w:firstLine="482" w:firstLineChars="200"/>
        <w:jc w:val="left"/>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第六条  </w:t>
      </w:r>
      <w:r>
        <w:rPr>
          <w:rFonts w:hint="eastAsia" w:ascii="仿宋" w:hAnsi="仿宋" w:eastAsia="仿宋" w:cs="仿宋"/>
          <w:sz w:val="24"/>
          <w:szCs w:val="24"/>
          <w:highlight w:val="none"/>
        </w:rPr>
        <w:t>物业服务费用：</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年。物业服务报价（包括但不限于人工工资，社保，劳保，福利，工服，办公物资、保洁耗材、绿化及工程工具耗材其他物业服务所需物资，管理运营，利润，税金，及政策性文件规定的各项费用等承包计价的一切费用），如果甲方增加服务项目，乙方有权要求增加对应的服务费。</w:t>
      </w:r>
    </w:p>
    <w:p w14:paraId="3BCCE43E">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第七条  支付方式：</w:t>
      </w:r>
    </w:p>
    <w:p w14:paraId="6CBA5D9A">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合同签订后，采购人按</w:t>
      </w:r>
      <w:r>
        <w:rPr>
          <w:rFonts w:hint="eastAsia" w:ascii="仿宋" w:hAnsi="仿宋" w:eastAsia="仿宋" w:cs="仿宋"/>
          <w:color w:val="auto"/>
          <w:sz w:val="24"/>
          <w:szCs w:val="24"/>
          <w:highlight w:val="none"/>
          <w:lang w:val="en-US" w:eastAsia="zh-CN"/>
        </w:rPr>
        <w:t>半年</w:t>
      </w:r>
      <w:r>
        <w:rPr>
          <w:rFonts w:hint="eastAsia" w:ascii="仿宋" w:hAnsi="仿宋" w:eastAsia="仿宋" w:cs="仿宋"/>
          <w:color w:val="auto"/>
          <w:sz w:val="24"/>
          <w:szCs w:val="24"/>
          <w:highlight w:val="none"/>
        </w:rPr>
        <w:t>支付。</w:t>
      </w:r>
    </w:p>
    <w:p w14:paraId="6D6A57C1">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采购人每</w:t>
      </w:r>
      <w:r>
        <w:rPr>
          <w:rFonts w:hint="eastAsia" w:ascii="仿宋" w:hAnsi="仿宋" w:eastAsia="仿宋" w:cs="仿宋"/>
          <w:color w:val="auto"/>
          <w:sz w:val="24"/>
          <w:szCs w:val="24"/>
          <w:highlight w:val="none"/>
          <w:lang w:val="en-US" w:eastAsia="zh-CN"/>
        </w:rPr>
        <w:t>半年</w:t>
      </w:r>
      <w:r>
        <w:rPr>
          <w:rFonts w:hint="eastAsia" w:ascii="仿宋" w:hAnsi="仿宋" w:eastAsia="仿宋" w:cs="仿宋"/>
          <w:color w:val="auto"/>
          <w:sz w:val="24"/>
          <w:szCs w:val="24"/>
          <w:highlight w:val="none"/>
        </w:rPr>
        <w:t xml:space="preserve">组织验收，经综合验收合格后，由供应商向采购人提交付款申请书及相应清单、票据等报账资料，经采购人审定确认无误后，按照合同约定条款履行付款手续 ，达到付款条件起 7 日内，支付合同总金额的 </w:t>
      </w:r>
      <w:r>
        <w:rPr>
          <w:rFonts w:hint="eastAsia" w:ascii="仿宋" w:hAnsi="仿宋" w:eastAsia="仿宋" w:cs="仿宋"/>
          <w:color w:val="auto"/>
          <w:sz w:val="24"/>
          <w:szCs w:val="24"/>
          <w:highlight w:val="none"/>
          <w:lang w:val="en-US" w:eastAsia="zh-CN"/>
        </w:rPr>
        <w:t>50</w:t>
      </w:r>
      <w:r>
        <w:rPr>
          <w:rFonts w:hint="eastAsia" w:ascii="仿宋" w:hAnsi="仿宋" w:eastAsia="仿宋" w:cs="仿宋"/>
          <w:color w:val="auto"/>
          <w:sz w:val="24"/>
          <w:szCs w:val="24"/>
          <w:highlight w:val="none"/>
        </w:rPr>
        <w:t>.00%。</w:t>
      </w:r>
    </w:p>
    <w:p w14:paraId="50DB2DD4">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bCs/>
          <w:sz w:val="24"/>
          <w:szCs w:val="24"/>
          <w:highlight w:val="none"/>
        </w:rPr>
        <w:t>第八</w:t>
      </w:r>
      <w:r>
        <w:rPr>
          <w:rFonts w:hint="eastAsia" w:ascii="仿宋" w:hAnsi="仿宋" w:eastAsia="仿宋" w:cs="仿宋"/>
          <w:b/>
          <w:bCs/>
          <w:color w:val="auto"/>
          <w:sz w:val="24"/>
          <w:szCs w:val="24"/>
          <w:highlight w:val="none"/>
        </w:rPr>
        <w:t xml:space="preserve">条  </w:t>
      </w:r>
      <w:r>
        <w:rPr>
          <w:rFonts w:hint="eastAsia" w:ascii="仿宋" w:hAnsi="仿宋" w:eastAsia="仿宋" w:cs="仿宋"/>
          <w:color w:val="auto"/>
          <w:sz w:val="24"/>
          <w:szCs w:val="24"/>
          <w:highlight w:val="none"/>
        </w:rPr>
        <w:t>物业使用人房屋自用部位、自用设备及设备的维修、养护，在当事人提出委托时，乙方须接受委托并合理收费，若物业使用人不接受服务费，乙方有权拒绝提供额外服务。</w:t>
      </w:r>
    </w:p>
    <w:p w14:paraId="6482A396">
      <w:pPr>
        <w:pStyle w:val="3"/>
        <w:keepNext w:val="0"/>
        <w:keepLines w:val="0"/>
        <w:pageBreakBefore w:val="0"/>
        <w:widowControl/>
        <w:numPr>
          <w:ilvl w:val="1"/>
          <w:numId w:val="0"/>
        </w:numPr>
        <w:shd w:val="clear"/>
        <w:wordWrap/>
        <w:overflowPunct/>
        <w:topLinePunct w:val="0"/>
        <w:bidi w:val="0"/>
        <w:snapToGrid w:val="0"/>
        <w:spacing w:line="360" w:lineRule="auto"/>
        <w:rPr>
          <w:rFonts w:hint="eastAsia" w:ascii="仿宋" w:hAnsi="仿宋" w:eastAsia="仿宋" w:cs="仿宋"/>
          <w:color w:val="auto"/>
          <w:sz w:val="24"/>
          <w:szCs w:val="24"/>
          <w:highlight w:val="none"/>
        </w:rPr>
      </w:pPr>
      <w:bookmarkStart w:id="13" w:name="_Toc7513_WPSOffice_Level2"/>
      <w:bookmarkStart w:id="14" w:name="_Toc26961"/>
      <w:bookmarkStart w:id="15" w:name="_Toc7205"/>
      <w:bookmarkStart w:id="16" w:name="_Toc25391"/>
      <w:r>
        <w:rPr>
          <w:rFonts w:hint="eastAsia" w:ascii="仿宋" w:hAnsi="仿宋" w:eastAsia="仿宋" w:cs="仿宋"/>
          <w:color w:val="auto"/>
          <w:sz w:val="24"/>
          <w:szCs w:val="24"/>
          <w:highlight w:val="none"/>
        </w:rPr>
        <w:t>第五章  双方权利义务</w:t>
      </w:r>
      <w:bookmarkEnd w:id="13"/>
      <w:bookmarkEnd w:id="14"/>
      <w:bookmarkEnd w:id="15"/>
      <w:bookmarkEnd w:id="16"/>
    </w:p>
    <w:p w14:paraId="7D362D18">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第九条  </w:t>
      </w:r>
      <w:r>
        <w:rPr>
          <w:rFonts w:hint="eastAsia" w:ascii="仿宋" w:hAnsi="仿宋" w:eastAsia="仿宋" w:cs="仿宋"/>
          <w:color w:val="auto"/>
          <w:sz w:val="24"/>
          <w:szCs w:val="24"/>
          <w:highlight w:val="none"/>
        </w:rPr>
        <w:t>甲方权利义务</w:t>
      </w:r>
    </w:p>
    <w:p w14:paraId="60746A68">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1、代表和维护产权人、使用人的合法权益；</w:t>
      </w:r>
    </w:p>
    <w:p w14:paraId="3981C3F5">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2、监督物业使用人遵守公约；</w:t>
      </w:r>
    </w:p>
    <w:p w14:paraId="15EBDD01">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3、审定乙方制定的物业管理方案；</w:t>
      </w:r>
    </w:p>
    <w:p w14:paraId="384C7B7B">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4、检查监督乙方管理工作的执行情况；</w:t>
      </w:r>
    </w:p>
    <w:p w14:paraId="46DB56EE">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5、审议乙方年度管理计划、资金使用计划及决算报告；</w:t>
      </w:r>
    </w:p>
    <w:p w14:paraId="2D578358">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6、在合同生效后根据乙方工作需求，免费向乙方提供办公用房（产权仍属甲方）；</w:t>
      </w:r>
    </w:p>
    <w:p w14:paraId="618D87B7">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7、负责归集物业管理所需全部图纸、档案、资料，并于合同生效之日起3日内向乙方提供；</w:t>
      </w:r>
    </w:p>
    <w:p w14:paraId="25970C34">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8、协调、处理本合同生效前发生的管理遗留问题；</w:t>
      </w:r>
    </w:p>
    <w:p w14:paraId="03811C76">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9、协助乙方做好物业管理工作和宣传教育；</w:t>
      </w:r>
    </w:p>
    <w:p w14:paraId="2DEC1B7A">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10、甲方可以随时抽查乙方物业计划完成情况及记录资料。</w:t>
      </w:r>
    </w:p>
    <w:p w14:paraId="1B0C93D0">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第十条  </w:t>
      </w:r>
      <w:r>
        <w:rPr>
          <w:rFonts w:hint="eastAsia" w:ascii="仿宋" w:hAnsi="仿宋" w:eastAsia="仿宋" w:cs="仿宋"/>
          <w:sz w:val="24"/>
          <w:szCs w:val="24"/>
          <w:highlight w:val="none"/>
        </w:rPr>
        <w:t>乙方权利义务</w:t>
      </w:r>
    </w:p>
    <w:p w14:paraId="31F98AF2">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1、根据有关法律、法规、</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rPr>
        <w:t>文件及本合同的约定，制定物业管理方案并提交甲方审定；</w:t>
      </w:r>
    </w:p>
    <w:p w14:paraId="03866D86">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2、对物业使用人违反法规、规章的行为，提请有关部门处理；</w:t>
      </w:r>
    </w:p>
    <w:p w14:paraId="387DF6A0">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3、对上岗人员按规定进行岗位培训，并对上岗人员定期进行职业道德，操作技能即礼貌礼节等相关培训，端正服务态度，提高服务质量，遵守各项规章制度及工作规范，维护校园形象；</w:t>
      </w:r>
    </w:p>
    <w:p w14:paraId="212F7DD3">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4、负责编制年度服务计划，经双方议定后由乙方组织实施；</w:t>
      </w:r>
    </w:p>
    <w:p w14:paraId="0B2AC8DC">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5、乙方服从学校相关规定，并接受校方监督；</w:t>
      </w:r>
    </w:p>
    <w:p w14:paraId="63BF941A">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6、每年向甲方公布一次维修养护费用收支使用情况；</w:t>
      </w:r>
    </w:p>
    <w:p w14:paraId="4721D930">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7、对本物业的公共设施不得擅自占用和改变使用功能，如需扩建或完善配套项目，须与甲方协商后报有关部门批准方可实施；</w:t>
      </w:r>
    </w:p>
    <w:p w14:paraId="00F50DAA">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8、本合同终止时，乙方必须向甲方移交全部办公用房及物业管理的全部档案资料；</w:t>
      </w:r>
    </w:p>
    <w:p w14:paraId="42DAC30B">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9、乙方应本着节约原则，杜绝浪费；</w:t>
      </w:r>
    </w:p>
    <w:p w14:paraId="6B894D49">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10、甲方交给乙方的资料等不得作为他用，否则，将追究其法律、经济责任；</w:t>
      </w:r>
    </w:p>
    <w:p w14:paraId="309FBFCC">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11、乙方自主解决物业工作人员</w:t>
      </w:r>
      <w:ins w:id="0" w:author="leo shen" w:date="2024-02-21T18:39:00Z">
        <w:r>
          <w:rPr>
            <w:rFonts w:hint="eastAsia" w:ascii="仿宋" w:hAnsi="仿宋" w:eastAsia="仿宋" w:cs="仿宋"/>
            <w:sz w:val="24"/>
            <w:szCs w:val="24"/>
            <w:highlight w:val="none"/>
          </w:rPr>
          <w:t>食宿</w:t>
        </w:r>
      </w:ins>
      <w:r>
        <w:rPr>
          <w:rFonts w:hint="eastAsia" w:ascii="仿宋" w:hAnsi="仿宋" w:eastAsia="仿宋" w:cs="仿宋"/>
          <w:sz w:val="24"/>
          <w:szCs w:val="24"/>
          <w:highlight w:val="none"/>
        </w:rPr>
        <w:t>问题；</w:t>
      </w:r>
    </w:p>
    <w:p w14:paraId="296831C3">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12、乙方所有人员在岗期间发生的人身安全及自身突发状况均由乙方负责；</w:t>
      </w:r>
    </w:p>
    <w:p w14:paraId="6CC8D4A8">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13、乙方为所有服务期内的在岗人员缴纳人身安全保险。</w:t>
      </w:r>
    </w:p>
    <w:p w14:paraId="766868AF">
      <w:pPr>
        <w:pStyle w:val="3"/>
        <w:keepNext w:val="0"/>
        <w:keepLines w:val="0"/>
        <w:pageBreakBefore w:val="0"/>
        <w:widowControl/>
        <w:numPr>
          <w:ilvl w:val="1"/>
          <w:numId w:val="0"/>
        </w:numPr>
        <w:shd w:val="clear"/>
        <w:wordWrap/>
        <w:overflowPunct/>
        <w:topLinePunct w:val="0"/>
        <w:bidi w:val="0"/>
        <w:snapToGrid w:val="0"/>
        <w:spacing w:line="360" w:lineRule="auto"/>
        <w:rPr>
          <w:rFonts w:hint="eastAsia" w:ascii="仿宋" w:hAnsi="仿宋" w:eastAsia="仿宋" w:cs="仿宋"/>
          <w:sz w:val="24"/>
          <w:szCs w:val="24"/>
          <w:highlight w:val="none"/>
        </w:rPr>
      </w:pPr>
      <w:bookmarkStart w:id="17" w:name="_Toc6738_WPSOffice_Level2"/>
      <w:bookmarkStart w:id="18" w:name="_Toc19935"/>
      <w:bookmarkStart w:id="19" w:name="_Toc2660"/>
      <w:bookmarkStart w:id="20" w:name="_Toc17483"/>
      <w:r>
        <w:rPr>
          <w:rFonts w:hint="eastAsia" w:ascii="仿宋" w:hAnsi="仿宋" w:eastAsia="仿宋" w:cs="仿宋"/>
          <w:sz w:val="24"/>
          <w:szCs w:val="24"/>
          <w:highlight w:val="none"/>
        </w:rPr>
        <w:t>第六章  违约责任</w:t>
      </w:r>
      <w:bookmarkEnd w:id="17"/>
      <w:bookmarkEnd w:id="18"/>
      <w:bookmarkEnd w:id="19"/>
      <w:bookmarkEnd w:id="20"/>
    </w:p>
    <w:p w14:paraId="4F2E32A2">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第十一条  </w:t>
      </w:r>
      <w:r>
        <w:rPr>
          <w:rFonts w:hint="eastAsia" w:ascii="仿宋" w:hAnsi="仿宋" w:eastAsia="仿宋" w:cs="仿宋"/>
          <w:sz w:val="24"/>
          <w:szCs w:val="24"/>
          <w:highlight w:val="none"/>
        </w:rPr>
        <w:t>因甲方原因使乙方未完成规定管理目标，乙方有权要求甲方在不定期限内解决，逾期未解决的乙方有权终止合同。</w:t>
      </w:r>
    </w:p>
    <w:p w14:paraId="46908F70">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第十二条  </w:t>
      </w:r>
      <w:r>
        <w:rPr>
          <w:rFonts w:hint="eastAsia" w:ascii="仿宋" w:hAnsi="仿宋" w:eastAsia="仿宋" w:cs="仿宋"/>
          <w:sz w:val="24"/>
          <w:szCs w:val="24"/>
          <w:highlight w:val="none"/>
        </w:rPr>
        <w:t>乙方不能按照管理制度完成管理目标，甲方有权要求乙方限期整改，经甲方书面函告逾期未整改的，每逾1日甲方将扣除乙方500元的违约金，并在当月物业管理服务费用中扣除；且因此造成甲方经济损失，由乙方承担；情形严重时，甲方有权终止合同。</w:t>
      </w:r>
    </w:p>
    <w:p w14:paraId="3E8A35C4">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应制定质量保证体系，切实做好项目物业管理服务工作，物业人员必须各尽其职，保证符合各项工作质量要求，如安排不当、人员不能到位严重影响甲方正常工作的，且经过甲方书面函告仍未改正的，按500元/次给予经济处罚，并在当月物业管理服务费用中扣除。</w:t>
      </w:r>
    </w:p>
    <w:p w14:paraId="21A5166D">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第十三条</w:t>
      </w:r>
      <w:r>
        <w:rPr>
          <w:rFonts w:hint="eastAsia" w:ascii="仿宋" w:hAnsi="仿宋" w:eastAsia="仿宋" w:cs="仿宋"/>
          <w:sz w:val="24"/>
          <w:szCs w:val="24"/>
          <w:highlight w:val="none"/>
        </w:rPr>
        <w:t>　甲方对乙方提供的物业服务工作进行质量检查、考核。对工作表现差的员工提出更换（包括项目内各级管理员和员工），乙方须于及时调换人员。项目经理必须服从采购单位提出的合理要求。</w:t>
      </w:r>
    </w:p>
    <w:p w14:paraId="06D5CE20">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第十四条 </w:t>
      </w:r>
      <w:r>
        <w:rPr>
          <w:rFonts w:hint="eastAsia" w:ascii="仿宋" w:hAnsi="仿宋" w:eastAsia="仿宋" w:cs="仿宋"/>
          <w:sz w:val="24"/>
          <w:szCs w:val="24"/>
          <w:highlight w:val="none"/>
        </w:rPr>
        <w:t>若甲方无正当理由逾期付款的，每日按照欠付金额的千分之一 向乙方支付逾期付款违约金。若甲方迟延付款达</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日以上，乙方有权解除合同，甲方应在收到乙方的解除通知后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日内确定接手的物业公司，逾期未确定，乙方可自行撤场，因此造成的损失，甲自行承担，且在此期间，甲方按照本合同约定的标准向乙方支付物业服务费。</w:t>
      </w:r>
    </w:p>
    <w:p w14:paraId="3E1BD529">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第十五条  </w:t>
      </w:r>
      <w:r>
        <w:rPr>
          <w:rFonts w:hint="eastAsia" w:ascii="仿宋" w:hAnsi="仿宋" w:eastAsia="仿宋" w:cs="仿宋"/>
          <w:sz w:val="24"/>
          <w:szCs w:val="24"/>
          <w:highlight w:val="none"/>
        </w:rPr>
        <w:t>甲乙双方任何一方无法律依据提前终止合同的违约方应赔偿对方项目总额5‰的违约金；造成对方经济损失的，应给予经济赔偿。</w:t>
      </w:r>
    </w:p>
    <w:p w14:paraId="0F98C013">
      <w:pPr>
        <w:pStyle w:val="3"/>
        <w:keepNext w:val="0"/>
        <w:keepLines w:val="0"/>
        <w:pageBreakBefore w:val="0"/>
        <w:widowControl/>
        <w:numPr>
          <w:ilvl w:val="1"/>
          <w:numId w:val="0"/>
        </w:numPr>
        <w:shd w:val="clear"/>
        <w:wordWrap/>
        <w:overflowPunct/>
        <w:topLinePunct w:val="0"/>
        <w:bidi w:val="0"/>
        <w:snapToGrid w:val="0"/>
        <w:spacing w:line="360" w:lineRule="auto"/>
        <w:rPr>
          <w:rFonts w:hint="eastAsia" w:ascii="仿宋" w:hAnsi="仿宋" w:eastAsia="仿宋" w:cs="仿宋"/>
          <w:sz w:val="24"/>
          <w:szCs w:val="24"/>
          <w:highlight w:val="none"/>
        </w:rPr>
      </w:pPr>
      <w:bookmarkStart w:id="21" w:name="_Toc14477"/>
      <w:bookmarkStart w:id="22" w:name="_Toc18119_WPSOffice_Level2"/>
      <w:bookmarkStart w:id="23" w:name="_Toc22525"/>
      <w:bookmarkStart w:id="24" w:name="_Toc31828"/>
      <w:r>
        <w:rPr>
          <w:rFonts w:hint="eastAsia" w:ascii="仿宋" w:hAnsi="仿宋" w:eastAsia="仿宋" w:cs="仿宋"/>
          <w:sz w:val="24"/>
          <w:szCs w:val="24"/>
          <w:highlight w:val="none"/>
        </w:rPr>
        <w:t>第七章  附则</w:t>
      </w:r>
      <w:bookmarkEnd w:id="21"/>
      <w:bookmarkEnd w:id="22"/>
      <w:bookmarkEnd w:id="23"/>
      <w:bookmarkEnd w:id="24"/>
    </w:p>
    <w:p w14:paraId="11E64D7C">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第十六条  </w:t>
      </w:r>
      <w:r>
        <w:rPr>
          <w:rFonts w:hint="eastAsia" w:ascii="仿宋" w:hAnsi="仿宋" w:eastAsia="仿宋" w:cs="仿宋"/>
          <w:sz w:val="24"/>
          <w:szCs w:val="24"/>
          <w:highlight w:val="none"/>
        </w:rPr>
        <w:t>双方约定自本合同生效之日起3天内，根据甲方委托管理事项，办理接管验收手续。</w:t>
      </w:r>
    </w:p>
    <w:p w14:paraId="33B04B3D">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第十七条  </w:t>
      </w:r>
      <w:r>
        <w:rPr>
          <w:rFonts w:hint="eastAsia" w:ascii="仿宋" w:hAnsi="仿宋" w:eastAsia="仿宋" w:cs="仿宋"/>
          <w:sz w:val="24"/>
          <w:szCs w:val="24"/>
          <w:highlight w:val="none"/>
        </w:rPr>
        <w:t>甲方根据法律法规、</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rPr>
        <w:t>文件及合同约定，对乙方进行考核，具体考核内容及标准参照</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rPr>
        <w:t>文件执行。考核表由甲方根据</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rPr>
        <w:t>文件服务项目需求要求制定下发。</w:t>
      </w:r>
    </w:p>
    <w:p w14:paraId="35F688BA">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第十八条  </w:t>
      </w:r>
      <w:r>
        <w:rPr>
          <w:rFonts w:hint="eastAsia" w:ascii="仿宋" w:hAnsi="仿宋" w:eastAsia="仿宋" w:cs="仿宋"/>
          <w:sz w:val="24"/>
          <w:szCs w:val="24"/>
          <w:highlight w:val="none"/>
        </w:rPr>
        <w:t>双方可对本合同的条款进行补充，以书面形式签订补充协议，补充协议与合同具有相同等效力。</w:t>
      </w:r>
    </w:p>
    <w:p w14:paraId="0642C990">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第十九条  </w:t>
      </w:r>
      <w:r>
        <w:rPr>
          <w:rFonts w:hint="eastAsia" w:ascii="仿宋" w:hAnsi="仿宋" w:eastAsia="仿宋" w:cs="仿宋"/>
          <w:sz w:val="24"/>
          <w:szCs w:val="24"/>
          <w:highlight w:val="none"/>
        </w:rPr>
        <w:t>本合同之附件均为合同有效组成部分。在合同及其附件内，空格部分填写的文字与印刷文字具有同等效力，但不得修改本合同印制条款的本意。</w:t>
      </w:r>
    </w:p>
    <w:p w14:paraId="44EF65D7">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本合同及其附件和补充协议中未规定的事宜，均遵照中华人民共和国有关法律、法规和规章执行。</w:t>
      </w:r>
    </w:p>
    <w:p w14:paraId="6BB79C66">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第二十条  </w:t>
      </w:r>
      <w:r>
        <w:rPr>
          <w:rFonts w:hint="eastAsia" w:ascii="仿宋" w:hAnsi="仿宋" w:eastAsia="仿宋" w:cs="仿宋"/>
          <w:sz w:val="24"/>
          <w:szCs w:val="24"/>
          <w:highlight w:val="none"/>
        </w:rPr>
        <w:t>本合同正本连同附件页，一式陆份，各方各执贰份，具有同等法律效力。</w:t>
      </w:r>
    </w:p>
    <w:p w14:paraId="1AEC07D4">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第二十一条  </w:t>
      </w:r>
      <w:r>
        <w:rPr>
          <w:rFonts w:hint="eastAsia" w:ascii="仿宋" w:hAnsi="仿宋" w:eastAsia="仿宋" w:cs="仿宋"/>
          <w:sz w:val="24"/>
          <w:szCs w:val="24"/>
          <w:highlight w:val="none"/>
        </w:rPr>
        <w:t>本合同执行期间，如遇不可抗力，致使合同无法履行时，双方应按有关法律规定及时协商处理。</w:t>
      </w:r>
    </w:p>
    <w:p w14:paraId="0C03BCBD">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第二十二条  </w:t>
      </w:r>
      <w:r>
        <w:rPr>
          <w:rFonts w:hint="eastAsia" w:ascii="仿宋" w:hAnsi="仿宋" w:eastAsia="仿宋" w:cs="仿宋"/>
          <w:sz w:val="24"/>
          <w:szCs w:val="24"/>
          <w:highlight w:val="none"/>
        </w:rPr>
        <w:t>本合同在履行中如发生争议，双方应协商解决，协商不成时，协商不成，任何一方均可向甲方所在地人民法院起诉。</w:t>
      </w:r>
    </w:p>
    <w:p w14:paraId="6AF3C48E">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第二十一条  </w:t>
      </w:r>
      <w:r>
        <w:rPr>
          <w:rFonts w:hint="eastAsia" w:ascii="仿宋" w:hAnsi="仿宋" w:eastAsia="仿宋" w:cs="仿宋"/>
          <w:sz w:val="24"/>
          <w:szCs w:val="24"/>
          <w:highlight w:val="none"/>
        </w:rPr>
        <w:t>合同期满，本合同自然终止，双方如续签合同，应在该合同期满30天前向对方提出书面意见。</w:t>
      </w:r>
    </w:p>
    <w:p w14:paraId="420AB64B">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第二十四条  </w:t>
      </w:r>
      <w:r>
        <w:rPr>
          <w:rFonts w:hint="eastAsia" w:ascii="仿宋" w:hAnsi="仿宋" w:eastAsia="仿宋" w:cs="仿宋"/>
          <w:sz w:val="24"/>
          <w:szCs w:val="24"/>
          <w:highlight w:val="none"/>
        </w:rPr>
        <w:t>合同组成</w:t>
      </w:r>
    </w:p>
    <w:p w14:paraId="040ABB4A">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成交</w:t>
      </w:r>
      <w:r>
        <w:rPr>
          <w:rFonts w:hint="eastAsia" w:ascii="仿宋" w:hAnsi="仿宋" w:eastAsia="仿宋" w:cs="仿宋"/>
          <w:sz w:val="24"/>
          <w:szCs w:val="24"/>
          <w:highlight w:val="none"/>
        </w:rPr>
        <w:t>通知书</w:t>
      </w:r>
    </w:p>
    <w:p w14:paraId="42237930">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2、合同文件</w:t>
      </w:r>
    </w:p>
    <w:p w14:paraId="28556D5F">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3、国家相关规范及标准</w:t>
      </w:r>
    </w:p>
    <w:p w14:paraId="30B8B155">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rPr>
        <w:t>文件</w:t>
      </w:r>
    </w:p>
    <w:p w14:paraId="41ECA2B4">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文件</w:t>
      </w:r>
    </w:p>
    <w:p w14:paraId="5205A425">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第二十五条</w:t>
      </w:r>
      <w:r>
        <w:rPr>
          <w:rFonts w:hint="eastAsia" w:ascii="仿宋" w:hAnsi="仿宋" w:eastAsia="仿宋" w:cs="仿宋"/>
          <w:sz w:val="24"/>
          <w:szCs w:val="24"/>
          <w:highlight w:val="none"/>
        </w:rPr>
        <w:t xml:space="preserve">  合同生效及其它</w:t>
      </w:r>
    </w:p>
    <w:p w14:paraId="5FF832C3">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1、本合同未尽事宜，按法律、法规及有关规定协商处理。</w:t>
      </w:r>
    </w:p>
    <w:p w14:paraId="792CD6F7">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2、本合同经各方签字，并加盖公章（或合同专用章）后生效。</w:t>
      </w:r>
    </w:p>
    <w:p w14:paraId="2F1BFD13">
      <w:pPr>
        <w:keepNext w:val="0"/>
        <w:keepLines w:val="0"/>
        <w:pageBreakBefore w:val="0"/>
        <w:widowControl/>
        <w:shd w:val="clear"/>
        <w:wordWrap/>
        <w:overflowPunct/>
        <w:topLinePunct w:val="0"/>
        <w:bidi w:val="0"/>
        <w:snapToGrid w:val="0"/>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第二十六条 关于送达的规定</w:t>
      </w:r>
    </w:p>
    <w:p w14:paraId="0BD394A8">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（一）本合同项下甲乙双方任何一方向对方发出的通知、信件、数据电文等，应当发送至本合同下列约定的地址、联系人和通信终端。</w:t>
      </w:r>
    </w:p>
    <w:p w14:paraId="479B3AA9">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甲方联系人：</w:t>
      </w:r>
    </w:p>
    <w:p w14:paraId="7723E7DF">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p w14:paraId="19DAD709">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联系地址：</w:t>
      </w:r>
      <w:r>
        <w:rPr>
          <w:rFonts w:hint="eastAsia" w:ascii="仿宋" w:hAnsi="仿宋" w:eastAsia="仿宋" w:cs="仿宋"/>
          <w:sz w:val="24"/>
          <w:szCs w:val="24"/>
          <w:highlight w:val="none"/>
          <w:lang w:val="en-US" w:eastAsia="zh-CN"/>
        </w:rPr>
        <w:t>西安市长安区西长安街669号长安区行政中心西楼515室</w:t>
      </w:r>
    </w:p>
    <w:p w14:paraId="361B4D2A">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邮编：xxxxxx</w:t>
      </w:r>
    </w:p>
    <w:p w14:paraId="27C7ADF7">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甲方（☑同意□不同意）接受电子文件送达，电子终端信息如下： </w:t>
      </w:r>
    </w:p>
    <w:p w14:paraId="0E278FF4">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移动电话：</w:t>
      </w:r>
      <w:r>
        <w:rPr>
          <w:rFonts w:hint="eastAsia" w:ascii="仿宋" w:hAnsi="仿宋" w:eastAsia="仿宋" w:cs="仿宋"/>
          <w:sz w:val="24"/>
          <w:szCs w:val="24"/>
          <w:highlight w:val="none"/>
          <w:lang w:val="en-US" w:eastAsia="zh-CN"/>
        </w:rPr>
        <w:t>x</w:t>
      </w:r>
      <w:r>
        <w:rPr>
          <w:rFonts w:hint="eastAsia" w:ascii="仿宋" w:hAnsi="仿宋" w:eastAsia="仿宋" w:cs="仿宋"/>
          <w:sz w:val="24"/>
          <w:szCs w:val="24"/>
          <w:highlight w:val="none"/>
        </w:rPr>
        <w:t>xxxxxxxxx，</w:t>
      </w:r>
    </w:p>
    <w:p w14:paraId="078325EA">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传真：xxx-xxxxxx, 微信号：xxxxxxxx,</w:t>
      </w:r>
    </w:p>
    <w:p w14:paraId="01DDC7AF">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电子邮箱：</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"mailto:xxx@xxx.com。" </w:instrText>
      </w:r>
      <w:r>
        <w:rPr>
          <w:rFonts w:hint="eastAsia" w:ascii="仿宋" w:hAnsi="仿宋" w:eastAsia="仿宋" w:cs="仿宋"/>
          <w:color w:val="auto"/>
          <w:sz w:val="24"/>
          <w:szCs w:val="24"/>
          <w:highlight w:val="none"/>
        </w:rPr>
        <w:fldChar w:fldCharType="separate"/>
      </w:r>
      <w:r>
        <w:rPr>
          <w:rStyle w:val="14"/>
          <w:rFonts w:hint="eastAsia" w:ascii="仿宋" w:hAnsi="仿宋" w:eastAsia="仿宋" w:cs="仿宋"/>
          <w:color w:val="auto"/>
          <w:sz w:val="24"/>
          <w:szCs w:val="24"/>
          <w:highlight w:val="none"/>
        </w:rPr>
        <w:t>xxx@xxx.com。</w:t>
      </w:r>
      <w:r>
        <w:rPr>
          <w:rFonts w:hint="eastAsia" w:ascii="仿宋" w:hAnsi="仿宋" w:eastAsia="仿宋" w:cs="仿宋"/>
          <w:color w:val="auto"/>
          <w:sz w:val="24"/>
          <w:szCs w:val="24"/>
          <w:highlight w:val="none"/>
        </w:rPr>
        <w:fldChar w:fldCharType="end"/>
      </w:r>
    </w:p>
    <w:p w14:paraId="26791C11">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乙方联系人：              </w:t>
      </w:r>
    </w:p>
    <w:p w14:paraId="67B4305F">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w:t>
      </w:r>
    </w:p>
    <w:p w14:paraId="5FFB46EB">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联系地址：               ,邮编：                    </w:t>
      </w:r>
    </w:p>
    <w:p w14:paraId="74683B01">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乙方（□同意□不同意）接受电子文件送达，电子终端信息如下： </w:t>
      </w:r>
    </w:p>
    <w:p w14:paraId="5745D1E9">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移动电话：                ，</w:t>
      </w:r>
    </w:p>
    <w:p w14:paraId="0AF77CB5">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传真：              , 微信号：                ,</w:t>
      </w:r>
    </w:p>
    <w:p w14:paraId="37213829">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电子邮箱：                     。</w:t>
      </w:r>
    </w:p>
    <w:p w14:paraId="79B78F37">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（二）各种通讯方式应当按照下列方式确定其送达时间：</w:t>
      </w:r>
    </w:p>
    <w:p w14:paraId="50550BB2">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1、面呈之通知在被通知人签收时视为送达，被通知人未签收的不得视为有效的送达。</w:t>
      </w:r>
    </w:p>
    <w:p w14:paraId="6B09E5FE">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2、以邮寄方式进行的通知均应采用邮政挂号快件或特快专递的方式进行，自信件交邮后的第 7 日视为送达。</w:t>
      </w:r>
    </w:p>
    <w:p w14:paraId="0B56241D">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3、发出的短信/传真/微信/电子邮件，自前述电子文件内容在发送方正确填写地址且未被系统退回的情况下，视为进入对方数据电文接收系统即视为送达。若送达日为非工作日，则视为在下一工作日送达。</w:t>
      </w:r>
    </w:p>
    <w:p w14:paraId="7C79DEF8">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4、一方当事人变更名称、地址、联系人或通信终端的，应当在变更后 3 日内及时书面通知对方当事人，对方当事人实际收到变更通知前的送达仍为有效送达，电子送达与书面送达具有同等法律效力。</w:t>
      </w:r>
    </w:p>
    <w:p w14:paraId="03FEFDFC">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24C520C3">
      <w:pPr>
        <w:keepNext w:val="0"/>
        <w:keepLines w:val="0"/>
        <w:pageBreakBefore w:val="0"/>
        <w:widowControl/>
        <w:shd w:val="clear"/>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p>
    <w:tbl>
      <w:tblPr>
        <w:tblStyle w:val="12"/>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900"/>
        <w:gridCol w:w="4176"/>
      </w:tblGrid>
      <w:tr w14:paraId="41057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99" w:type="pct"/>
            <w:noWrap w:val="0"/>
            <w:vAlign w:val="top"/>
          </w:tcPr>
          <w:p w14:paraId="1978CB1B">
            <w:pPr>
              <w:pStyle w:val="16"/>
              <w:keepNext w:val="0"/>
              <w:keepLines w:val="0"/>
              <w:pageBreakBefore w:val="0"/>
              <w:widowControl/>
              <w:shd w:val="clear"/>
              <w:wordWrap/>
              <w:overflowPunct/>
              <w:topLinePunct w:val="0"/>
              <w:bidi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pacing w:val="-19"/>
                <w:sz w:val="24"/>
                <w:szCs w:val="24"/>
                <w:highlight w:val="none"/>
              </w:rPr>
              <w:t>甲</w:t>
            </w:r>
            <w:r>
              <w:rPr>
                <w:rFonts w:hint="eastAsia" w:ascii="仿宋" w:hAnsi="仿宋" w:eastAsia="仿宋" w:cs="仿宋"/>
                <w:spacing w:val="4"/>
                <w:sz w:val="24"/>
                <w:szCs w:val="24"/>
                <w:highlight w:val="none"/>
              </w:rPr>
              <w:t xml:space="preserve">  </w:t>
            </w:r>
            <w:r>
              <w:rPr>
                <w:rFonts w:hint="eastAsia" w:ascii="仿宋" w:hAnsi="仿宋" w:eastAsia="仿宋" w:cs="仿宋"/>
                <w:spacing w:val="-19"/>
                <w:sz w:val="24"/>
                <w:szCs w:val="24"/>
                <w:highlight w:val="none"/>
              </w:rPr>
              <w:t>方</w:t>
            </w:r>
          </w:p>
        </w:tc>
        <w:tc>
          <w:tcPr>
            <w:tcW w:w="2300" w:type="pct"/>
            <w:noWrap w:val="0"/>
            <w:vAlign w:val="top"/>
          </w:tcPr>
          <w:p w14:paraId="36497E21">
            <w:pPr>
              <w:pStyle w:val="16"/>
              <w:keepNext w:val="0"/>
              <w:keepLines w:val="0"/>
              <w:pageBreakBefore w:val="0"/>
              <w:widowControl/>
              <w:shd w:val="clear"/>
              <w:wordWrap/>
              <w:overflowPunct/>
              <w:topLinePunct w:val="0"/>
              <w:bidi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pacing w:val="-13"/>
                <w:sz w:val="24"/>
                <w:szCs w:val="24"/>
                <w:highlight w:val="none"/>
              </w:rPr>
              <w:t>乙</w:t>
            </w:r>
            <w:r>
              <w:rPr>
                <w:rFonts w:hint="eastAsia" w:ascii="仿宋" w:hAnsi="仿宋" w:eastAsia="仿宋" w:cs="仿宋"/>
                <w:spacing w:val="3"/>
                <w:sz w:val="24"/>
                <w:szCs w:val="24"/>
                <w:highlight w:val="none"/>
              </w:rPr>
              <w:t xml:space="preserve">  </w:t>
            </w:r>
            <w:r>
              <w:rPr>
                <w:rFonts w:hint="eastAsia" w:ascii="仿宋" w:hAnsi="仿宋" w:eastAsia="仿宋" w:cs="仿宋"/>
                <w:spacing w:val="-13"/>
                <w:sz w:val="24"/>
                <w:szCs w:val="24"/>
                <w:highlight w:val="none"/>
              </w:rPr>
              <w:t>方</w:t>
            </w:r>
          </w:p>
        </w:tc>
      </w:tr>
      <w:tr w14:paraId="77C1C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2699" w:type="pct"/>
            <w:noWrap w:val="0"/>
            <w:vAlign w:val="top"/>
          </w:tcPr>
          <w:p w14:paraId="4FEA73EB">
            <w:pPr>
              <w:pStyle w:val="16"/>
              <w:keepNext w:val="0"/>
              <w:keepLines w:val="0"/>
              <w:pageBreakBefore w:val="0"/>
              <w:widowControl/>
              <w:shd w:val="clear"/>
              <w:wordWrap/>
              <w:overflowPunct/>
              <w:topLinePunct w:val="0"/>
              <w:bidi w:val="0"/>
              <w:snapToGrid w:val="0"/>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pacing w:val="-2"/>
                <w:sz w:val="24"/>
                <w:szCs w:val="24"/>
                <w:highlight w:val="none"/>
                <w:lang w:eastAsia="zh-CN"/>
              </w:rPr>
              <w:t>采购人名称</w:t>
            </w:r>
          </w:p>
          <w:p w14:paraId="1FA3E5EE">
            <w:pPr>
              <w:pStyle w:val="16"/>
              <w:keepNext w:val="0"/>
              <w:keepLines w:val="0"/>
              <w:pageBreakBefore w:val="0"/>
              <w:widowControl/>
              <w:shd w:val="clear"/>
              <w:wordWrap/>
              <w:overflowPunct/>
              <w:topLinePunct w:val="0"/>
              <w:bidi w:val="0"/>
              <w:snapToGrid w:val="0"/>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pacing w:val="-2"/>
                <w:sz w:val="24"/>
                <w:szCs w:val="24"/>
                <w:highlight w:val="none"/>
                <w:lang w:eastAsia="zh-CN"/>
              </w:rPr>
              <w:t>（西安市长安区文化和旅游体育局）</w:t>
            </w:r>
          </w:p>
          <w:p w14:paraId="7AAA63D1">
            <w:pPr>
              <w:pStyle w:val="16"/>
              <w:keepNext w:val="0"/>
              <w:keepLines w:val="0"/>
              <w:pageBreakBefore w:val="0"/>
              <w:widowControl/>
              <w:shd w:val="clear"/>
              <w:wordWrap/>
              <w:overflowPunct/>
              <w:topLinePunct w:val="0"/>
              <w:bidi w:val="0"/>
              <w:snapToGrid w:val="0"/>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pacing w:val="-4"/>
                <w:sz w:val="24"/>
                <w:szCs w:val="24"/>
                <w:highlight w:val="none"/>
                <w:lang w:eastAsia="zh-CN"/>
              </w:rPr>
              <w:t>（盖章）</w:t>
            </w:r>
          </w:p>
        </w:tc>
        <w:tc>
          <w:tcPr>
            <w:tcW w:w="2300" w:type="pct"/>
            <w:noWrap w:val="0"/>
            <w:vAlign w:val="top"/>
          </w:tcPr>
          <w:p w14:paraId="2D4753A9">
            <w:pPr>
              <w:pStyle w:val="16"/>
              <w:keepNext w:val="0"/>
              <w:keepLines w:val="0"/>
              <w:pageBreakBefore w:val="0"/>
              <w:widowControl/>
              <w:shd w:val="clear"/>
              <w:wordWrap/>
              <w:overflowPunct/>
              <w:topLinePunct w:val="0"/>
              <w:bidi w:val="0"/>
              <w:snapToGrid w:val="0"/>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pacing w:val="-2"/>
                <w:sz w:val="24"/>
                <w:szCs w:val="24"/>
                <w:highlight w:val="none"/>
                <w:lang w:eastAsia="zh-CN"/>
              </w:rPr>
              <w:t>供应商全称</w:t>
            </w:r>
          </w:p>
          <w:p w14:paraId="7199E709">
            <w:pPr>
              <w:pStyle w:val="16"/>
              <w:keepNext w:val="0"/>
              <w:keepLines w:val="0"/>
              <w:pageBreakBefore w:val="0"/>
              <w:widowControl/>
              <w:shd w:val="clear"/>
              <w:wordWrap/>
              <w:overflowPunct/>
              <w:topLinePunct w:val="0"/>
              <w:bidi w:val="0"/>
              <w:snapToGrid w:val="0"/>
              <w:spacing w:line="360" w:lineRule="auto"/>
              <w:jc w:val="center"/>
              <w:rPr>
                <w:rFonts w:hint="eastAsia" w:ascii="仿宋" w:hAnsi="仿宋" w:eastAsia="仿宋" w:cs="仿宋"/>
                <w:spacing w:val="-1"/>
                <w:sz w:val="24"/>
                <w:szCs w:val="24"/>
                <w:highlight w:val="none"/>
                <w:lang w:eastAsia="zh-CN"/>
              </w:rPr>
            </w:pPr>
            <w:r>
              <w:rPr>
                <w:rFonts w:hint="eastAsia" w:ascii="仿宋" w:hAnsi="仿宋" w:eastAsia="仿宋" w:cs="仿宋"/>
                <w:spacing w:val="-1"/>
                <w:sz w:val="24"/>
                <w:szCs w:val="24"/>
                <w:highlight w:val="none"/>
                <w:lang w:eastAsia="zh-CN"/>
              </w:rPr>
              <w:t>（</w:t>
            </w:r>
            <w:r>
              <w:rPr>
                <w:rFonts w:hint="eastAsia" w:ascii="仿宋" w:hAnsi="仿宋" w:eastAsia="仿宋" w:cs="仿宋"/>
                <w:spacing w:val="-1"/>
                <w:sz w:val="24"/>
                <w:szCs w:val="24"/>
                <w:highlight w:val="none"/>
                <w:lang w:val="en-US" w:eastAsia="zh-CN"/>
              </w:rPr>
              <w:t>****</w:t>
            </w:r>
            <w:r>
              <w:rPr>
                <w:rFonts w:hint="eastAsia" w:ascii="仿宋" w:hAnsi="仿宋" w:eastAsia="仿宋" w:cs="仿宋"/>
                <w:spacing w:val="-1"/>
                <w:sz w:val="24"/>
                <w:szCs w:val="24"/>
                <w:highlight w:val="none"/>
                <w:lang w:eastAsia="zh-CN"/>
              </w:rPr>
              <w:t>）</w:t>
            </w:r>
          </w:p>
          <w:p w14:paraId="0CCB47B1">
            <w:pPr>
              <w:pStyle w:val="16"/>
              <w:keepNext w:val="0"/>
              <w:keepLines w:val="0"/>
              <w:pageBreakBefore w:val="0"/>
              <w:widowControl/>
              <w:shd w:val="clear"/>
              <w:wordWrap/>
              <w:overflowPunct/>
              <w:topLinePunct w:val="0"/>
              <w:bidi w:val="0"/>
              <w:snapToGrid w:val="0"/>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pacing w:val="-4"/>
                <w:sz w:val="24"/>
                <w:szCs w:val="24"/>
                <w:highlight w:val="none"/>
                <w:lang w:eastAsia="zh-CN"/>
              </w:rPr>
              <w:t>（盖章）</w:t>
            </w:r>
          </w:p>
        </w:tc>
      </w:tr>
      <w:tr w14:paraId="0CD7B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2699" w:type="pct"/>
            <w:noWrap w:val="0"/>
            <w:vAlign w:val="top"/>
          </w:tcPr>
          <w:p w14:paraId="50AF78C9">
            <w:pPr>
              <w:pStyle w:val="16"/>
              <w:keepNext w:val="0"/>
              <w:keepLines w:val="0"/>
              <w:pageBreakBefore w:val="0"/>
              <w:widowControl/>
              <w:shd w:val="clear"/>
              <w:wordWrap/>
              <w:overflowPunct/>
              <w:topLinePunct w:val="0"/>
              <w:bidi w:val="0"/>
              <w:snapToGrid w:val="0"/>
              <w:spacing w:line="360" w:lineRule="auto"/>
              <w:ind w:left="117"/>
              <w:rPr>
                <w:rFonts w:hint="eastAsia" w:ascii="仿宋" w:hAnsi="仿宋" w:eastAsia="仿宋" w:cs="仿宋"/>
                <w:sz w:val="24"/>
                <w:szCs w:val="24"/>
                <w:highlight w:val="none"/>
                <w:lang w:eastAsia="zh-CN"/>
              </w:rPr>
            </w:pPr>
            <w:r>
              <w:rPr>
                <w:rFonts w:hint="eastAsia" w:ascii="仿宋" w:hAnsi="仿宋" w:eastAsia="仿宋" w:cs="仿宋"/>
                <w:spacing w:val="-3"/>
                <w:sz w:val="24"/>
                <w:szCs w:val="24"/>
                <w:highlight w:val="none"/>
                <w:lang w:eastAsia="zh-CN"/>
              </w:rPr>
              <w:t>地址：</w:t>
            </w:r>
          </w:p>
        </w:tc>
        <w:tc>
          <w:tcPr>
            <w:tcW w:w="2300" w:type="pct"/>
            <w:noWrap w:val="0"/>
            <w:vAlign w:val="top"/>
          </w:tcPr>
          <w:p w14:paraId="5B12274E">
            <w:pPr>
              <w:pStyle w:val="16"/>
              <w:keepNext w:val="0"/>
              <w:keepLines w:val="0"/>
              <w:pageBreakBefore w:val="0"/>
              <w:widowControl/>
              <w:shd w:val="clear"/>
              <w:wordWrap/>
              <w:overflowPunct/>
              <w:topLinePunct w:val="0"/>
              <w:bidi w:val="0"/>
              <w:snapToGrid w:val="0"/>
              <w:spacing w:line="360" w:lineRule="auto"/>
              <w:ind w:left="114"/>
              <w:rPr>
                <w:rFonts w:hint="eastAsia" w:ascii="仿宋" w:hAnsi="仿宋" w:eastAsia="仿宋" w:cs="仿宋"/>
                <w:sz w:val="24"/>
                <w:szCs w:val="24"/>
                <w:highlight w:val="none"/>
                <w:lang w:eastAsia="zh-CN"/>
              </w:rPr>
            </w:pPr>
            <w:r>
              <w:rPr>
                <w:rFonts w:hint="eastAsia" w:ascii="仿宋" w:hAnsi="仿宋" w:eastAsia="仿宋" w:cs="仿宋"/>
                <w:spacing w:val="-3"/>
                <w:sz w:val="24"/>
                <w:szCs w:val="24"/>
                <w:highlight w:val="none"/>
                <w:lang w:eastAsia="zh-CN"/>
              </w:rPr>
              <w:t>地址：</w:t>
            </w:r>
          </w:p>
        </w:tc>
      </w:tr>
      <w:tr w14:paraId="1B2D3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 w:hRule="atLeast"/>
        </w:trPr>
        <w:tc>
          <w:tcPr>
            <w:tcW w:w="2699" w:type="pct"/>
            <w:noWrap w:val="0"/>
            <w:vAlign w:val="top"/>
          </w:tcPr>
          <w:p w14:paraId="3AD1418A">
            <w:pPr>
              <w:pStyle w:val="16"/>
              <w:keepNext w:val="0"/>
              <w:keepLines w:val="0"/>
              <w:pageBreakBefore w:val="0"/>
              <w:widowControl/>
              <w:shd w:val="clear"/>
              <w:wordWrap/>
              <w:overflowPunct/>
              <w:topLinePunct w:val="0"/>
              <w:bidi w:val="0"/>
              <w:snapToGrid w:val="0"/>
              <w:spacing w:line="360" w:lineRule="auto"/>
              <w:ind w:left="133"/>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邮编：</w:t>
            </w:r>
          </w:p>
        </w:tc>
        <w:tc>
          <w:tcPr>
            <w:tcW w:w="2300" w:type="pct"/>
            <w:noWrap w:val="0"/>
            <w:vAlign w:val="top"/>
          </w:tcPr>
          <w:p w14:paraId="58BC82B7">
            <w:pPr>
              <w:pStyle w:val="16"/>
              <w:keepNext w:val="0"/>
              <w:keepLines w:val="0"/>
              <w:pageBreakBefore w:val="0"/>
              <w:widowControl/>
              <w:shd w:val="clear"/>
              <w:wordWrap/>
              <w:overflowPunct/>
              <w:topLinePunct w:val="0"/>
              <w:bidi w:val="0"/>
              <w:snapToGrid w:val="0"/>
              <w:spacing w:line="360" w:lineRule="auto"/>
              <w:ind w:left="130"/>
              <w:rPr>
                <w:rFonts w:hint="eastAsia" w:ascii="仿宋" w:hAnsi="仿宋" w:eastAsia="仿宋" w:cs="仿宋"/>
                <w:sz w:val="24"/>
                <w:szCs w:val="24"/>
                <w:highlight w:val="none"/>
                <w:lang w:eastAsia="zh-CN"/>
              </w:rPr>
            </w:pPr>
            <w:r>
              <w:rPr>
                <w:rFonts w:hint="eastAsia" w:ascii="仿宋" w:hAnsi="仿宋" w:eastAsia="仿宋" w:cs="仿宋"/>
                <w:spacing w:val="-8"/>
                <w:sz w:val="24"/>
                <w:szCs w:val="24"/>
                <w:highlight w:val="none"/>
              </w:rPr>
              <w:t>邮编：</w:t>
            </w:r>
          </w:p>
        </w:tc>
      </w:tr>
      <w:tr w14:paraId="00CCC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2699" w:type="pct"/>
            <w:noWrap w:val="0"/>
            <w:vAlign w:val="top"/>
          </w:tcPr>
          <w:p w14:paraId="1542957F">
            <w:pPr>
              <w:pStyle w:val="16"/>
              <w:keepNext w:val="0"/>
              <w:keepLines w:val="0"/>
              <w:pageBreakBefore w:val="0"/>
              <w:widowControl/>
              <w:shd w:val="clear"/>
              <w:wordWrap/>
              <w:overflowPunct/>
              <w:topLinePunct w:val="0"/>
              <w:bidi w:val="0"/>
              <w:snapToGrid w:val="0"/>
              <w:spacing w:line="360" w:lineRule="auto"/>
              <w:ind w:left="118"/>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法定代表人：</w:t>
            </w:r>
          </w:p>
        </w:tc>
        <w:tc>
          <w:tcPr>
            <w:tcW w:w="2300" w:type="pct"/>
            <w:noWrap w:val="0"/>
            <w:vAlign w:val="top"/>
          </w:tcPr>
          <w:p w14:paraId="01143156">
            <w:pPr>
              <w:pStyle w:val="16"/>
              <w:keepNext w:val="0"/>
              <w:keepLines w:val="0"/>
              <w:pageBreakBefore w:val="0"/>
              <w:widowControl/>
              <w:shd w:val="clear"/>
              <w:wordWrap/>
              <w:overflowPunct/>
              <w:topLinePunct w:val="0"/>
              <w:bidi w:val="0"/>
              <w:snapToGrid w:val="0"/>
              <w:spacing w:line="360" w:lineRule="auto"/>
              <w:ind w:left="114"/>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法定代表人：</w:t>
            </w:r>
          </w:p>
        </w:tc>
      </w:tr>
      <w:tr w14:paraId="7142F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2699" w:type="pct"/>
            <w:noWrap w:val="0"/>
            <w:vAlign w:val="top"/>
          </w:tcPr>
          <w:p w14:paraId="4FD8EBA8">
            <w:pPr>
              <w:pStyle w:val="16"/>
              <w:keepNext w:val="0"/>
              <w:keepLines w:val="0"/>
              <w:pageBreakBefore w:val="0"/>
              <w:widowControl/>
              <w:shd w:val="clear"/>
              <w:wordWrap/>
              <w:overflowPunct/>
              <w:topLinePunct w:val="0"/>
              <w:bidi w:val="0"/>
              <w:snapToGrid w:val="0"/>
              <w:spacing w:line="360" w:lineRule="auto"/>
              <w:ind w:left="117"/>
              <w:rPr>
                <w:rFonts w:hint="eastAsia" w:ascii="仿宋" w:hAnsi="仿宋" w:eastAsia="仿宋" w:cs="仿宋"/>
                <w:sz w:val="24"/>
                <w:szCs w:val="24"/>
                <w:highlight w:val="none"/>
                <w:lang w:eastAsia="zh-CN"/>
              </w:rPr>
            </w:pPr>
            <w:r>
              <w:rPr>
                <w:rFonts w:hint="eastAsia" w:ascii="仿宋" w:hAnsi="仿宋" w:eastAsia="仿宋" w:cs="仿宋"/>
                <w:spacing w:val="3"/>
                <w:sz w:val="24"/>
                <w:szCs w:val="24"/>
                <w:highlight w:val="none"/>
                <w:lang w:eastAsia="zh-CN"/>
              </w:rPr>
              <w:t>被授权代表</w:t>
            </w:r>
            <w:r>
              <w:rPr>
                <w:rFonts w:hint="eastAsia" w:ascii="仿宋" w:hAnsi="仿宋" w:eastAsia="仿宋" w:cs="仿宋"/>
                <w:spacing w:val="-17"/>
                <w:sz w:val="24"/>
                <w:szCs w:val="24"/>
                <w:highlight w:val="none"/>
                <w:lang w:eastAsia="zh-CN"/>
              </w:rPr>
              <w:t>：（</w:t>
            </w:r>
            <w:r>
              <w:rPr>
                <w:rFonts w:hint="eastAsia" w:ascii="仿宋" w:hAnsi="仿宋" w:eastAsia="仿宋" w:cs="仿宋"/>
                <w:spacing w:val="3"/>
                <w:sz w:val="24"/>
                <w:szCs w:val="24"/>
                <w:highlight w:val="none"/>
                <w:lang w:eastAsia="zh-CN"/>
              </w:rPr>
              <w:t>签字）</w:t>
            </w:r>
          </w:p>
        </w:tc>
        <w:tc>
          <w:tcPr>
            <w:tcW w:w="2300" w:type="pct"/>
            <w:noWrap w:val="0"/>
            <w:vAlign w:val="top"/>
          </w:tcPr>
          <w:p w14:paraId="413F6F1A">
            <w:pPr>
              <w:pStyle w:val="16"/>
              <w:keepNext w:val="0"/>
              <w:keepLines w:val="0"/>
              <w:pageBreakBefore w:val="0"/>
              <w:widowControl/>
              <w:shd w:val="clear"/>
              <w:wordWrap/>
              <w:overflowPunct/>
              <w:topLinePunct w:val="0"/>
              <w:bidi w:val="0"/>
              <w:snapToGrid w:val="0"/>
              <w:spacing w:line="360" w:lineRule="auto"/>
              <w:ind w:left="114"/>
              <w:rPr>
                <w:rFonts w:hint="eastAsia" w:ascii="仿宋" w:hAnsi="仿宋" w:eastAsia="仿宋" w:cs="仿宋"/>
                <w:sz w:val="24"/>
                <w:szCs w:val="24"/>
                <w:highlight w:val="none"/>
                <w:lang w:eastAsia="zh-CN"/>
              </w:rPr>
            </w:pPr>
            <w:r>
              <w:rPr>
                <w:rFonts w:hint="eastAsia" w:ascii="仿宋" w:hAnsi="仿宋" w:eastAsia="仿宋" w:cs="仿宋"/>
                <w:spacing w:val="3"/>
                <w:sz w:val="24"/>
                <w:szCs w:val="24"/>
                <w:highlight w:val="none"/>
                <w:lang w:eastAsia="zh-CN"/>
              </w:rPr>
              <w:t>被授权代表</w:t>
            </w:r>
            <w:r>
              <w:rPr>
                <w:rFonts w:hint="eastAsia" w:ascii="仿宋" w:hAnsi="仿宋" w:eastAsia="仿宋" w:cs="仿宋"/>
                <w:spacing w:val="-17"/>
                <w:sz w:val="24"/>
                <w:szCs w:val="24"/>
                <w:highlight w:val="none"/>
                <w:lang w:eastAsia="zh-CN"/>
              </w:rPr>
              <w:t>：（</w:t>
            </w:r>
            <w:r>
              <w:rPr>
                <w:rFonts w:hint="eastAsia" w:ascii="仿宋" w:hAnsi="仿宋" w:eastAsia="仿宋" w:cs="仿宋"/>
                <w:spacing w:val="3"/>
                <w:sz w:val="24"/>
                <w:szCs w:val="24"/>
                <w:highlight w:val="none"/>
                <w:lang w:eastAsia="zh-CN"/>
              </w:rPr>
              <w:t>签字）</w:t>
            </w:r>
          </w:p>
        </w:tc>
      </w:tr>
      <w:tr w14:paraId="2B0CBB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2699" w:type="pct"/>
            <w:noWrap w:val="0"/>
            <w:vAlign w:val="top"/>
          </w:tcPr>
          <w:p w14:paraId="4A8C8CF5">
            <w:pPr>
              <w:pStyle w:val="16"/>
              <w:keepNext w:val="0"/>
              <w:keepLines w:val="0"/>
              <w:pageBreakBefore w:val="0"/>
              <w:widowControl/>
              <w:shd w:val="clear"/>
              <w:wordWrap/>
              <w:overflowPunct/>
              <w:topLinePunct w:val="0"/>
              <w:bidi w:val="0"/>
              <w:snapToGrid w:val="0"/>
              <w:spacing w:line="360" w:lineRule="auto"/>
              <w:ind w:left="143"/>
              <w:rPr>
                <w:rFonts w:hint="eastAsia" w:ascii="仿宋" w:hAnsi="仿宋" w:eastAsia="仿宋" w:cs="仿宋"/>
                <w:sz w:val="24"/>
                <w:szCs w:val="24"/>
                <w:highlight w:val="none"/>
                <w:lang w:eastAsia="zh-CN"/>
              </w:rPr>
            </w:pPr>
            <w:r>
              <w:rPr>
                <w:rFonts w:hint="eastAsia" w:ascii="仿宋" w:hAnsi="仿宋" w:eastAsia="仿宋" w:cs="仿宋"/>
                <w:spacing w:val="-11"/>
                <w:sz w:val="24"/>
                <w:szCs w:val="24"/>
                <w:highlight w:val="none"/>
              </w:rPr>
              <w:t>电话：</w:t>
            </w:r>
            <w:r>
              <w:rPr>
                <w:rFonts w:hint="eastAsia" w:ascii="仿宋" w:hAnsi="仿宋" w:eastAsia="仿宋" w:cs="仿宋"/>
                <w:spacing w:val="-11"/>
                <w:sz w:val="24"/>
                <w:szCs w:val="24"/>
                <w:highlight w:val="none"/>
                <w:lang w:eastAsia="zh-CN"/>
              </w:rPr>
              <w:t>02985831666</w:t>
            </w:r>
          </w:p>
        </w:tc>
        <w:tc>
          <w:tcPr>
            <w:tcW w:w="2300" w:type="pct"/>
            <w:noWrap w:val="0"/>
            <w:vAlign w:val="top"/>
          </w:tcPr>
          <w:p w14:paraId="2D067D67">
            <w:pPr>
              <w:pStyle w:val="16"/>
              <w:keepNext w:val="0"/>
              <w:keepLines w:val="0"/>
              <w:pageBreakBefore w:val="0"/>
              <w:widowControl/>
              <w:shd w:val="clear"/>
              <w:wordWrap/>
              <w:overflowPunct/>
              <w:topLinePunct w:val="0"/>
              <w:bidi w:val="0"/>
              <w:snapToGrid w:val="0"/>
              <w:spacing w:line="360" w:lineRule="auto"/>
              <w:ind w:left="139"/>
              <w:rPr>
                <w:rFonts w:hint="eastAsia" w:ascii="仿宋" w:hAnsi="仿宋" w:eastAsia="仿宋" w:cs="仿宋"/>
                <w:sz w:val="24"/>
                <w:szCs w:val="24"/>
                <w:highlight w:val="none"/>
                <w:lang w:eastAsia="zh-CN"/>
              </w:rPr>
            </w:pPr>
            <w:r>
              <w:rPr>
                <w:rFonts w:hint="eastAsia" w:ascii="仿宋" w:hAnsi="仿宋" w:eastAsia="仿宋" w:cs="仿宋"/>
                <w:spacing w:val="-11"/>
                <w:sz w:val="24"/>
                <w:szCs w:val="24"/>
                <w:highlight w:val="none"/>
              </w:rPr>
              <w:t>电话：</w:t>
            </w:r>
          </w:p>
        </w:tc>
      </w:tr>
      <w:tr w14:paraId="03FB1A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2699" w:type="pct"/>
            <w:noWrap w:val="0"/>
            <w:vAlign w:val="top"/>
          </w:tcPr>
          <w:p w14:paraId="5CC9A6D7">
            <w:pPr>
              <w:pStyle w:val="16"/>
              <w:keepNext w:val="0"/>
              <w:keepLines w:val="0"/>
              <w:pageBreakBefore w:val="0"/>
              <w:widowControl/>
              <w:shd w:val="clear"/>
              <w:wordWrap/>
              <w:overflowPunct/>
              <w:topLinePunct w:val="0"/>
              <w:bidi w:val="0"/>
              <w:snapToGrid w:val="0"/>
              <w:spacing w:line="360" w:lineRule="auto"/>
              <w:ind w:left="115"/>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传真：</w:t>
            </w:r>
          </w:p>
        </w:tc>
        <w:tc>
          <w:tcPr>
            <w:tcW w:w="2300" w:type="pct"/>
            <w:noWrap w:val="0"/>
            <w:vAlign w:val="top"/>
          </w:tcPr>
          <w:p w14:paraId="5AA6D77C">
            <w:pPr>
              <w:pStyle w:val="16"/>
              <w:keepNext w:val="0"/>
              <w:keepLines w:val="0"/>
              <w:pageBreakBefore w:val="0"/>
              <w:widowControl/>
              <w:shd w:val="clear"/>
              <w:wordWrap/>
              <w:overflowPunct/>
              <w:topLinePunct w:val="0"/>
              <w:bidi w:val="0"/>
              <w:snapToGrid w:val="0"/>
              <w:spacing w:line="360" w:lineRule="auto"/>
              <w:ind w:left="112"/>
              <w:rPr>
                <w:rFonts w:hint="eastAsia" w:ascii="仿宋" w:hAnsi="仿宋" w:eastAsia="仿宋" w:cs="仿宋"/>
                <w:sz w:val="24"/>
                <w:szCs w:val="24"/>
                <w:highlight w:val="none"/>
                <w:lang w:eastAsia="zh-CN"/>
              </w:rPr>
            </w:pPr>
            <w:r>
              <w:rPr>
                <w:rFonts w:hint="eastAsia" w:ascii="仿宋" w:hAnsi="仿宋" w:eastAsia="仿宋" w:cs="仿宋"/>
                <w:spacing w:val="-2"/>
                <w:sz w:val="24"/>
                <w:szCs w:val="24"/>
                <w:highlight w:val="none"/>
              </w:rPr>
              <w:t>传真：</w:t>
            </w:r>
          </w:p>
        </w:tc>
      </w:tr>
      <w:tr w14:paraId="2E939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2699" w:type="pct"/>
            <w:noWrap w:val="0"/>
            <w:vAlign w:val="top"/>
          </w:tcPr>
          <w:p w14:paraId="4F99BDF2">
            <w:pPr>
              <w:keepNext w:val="0"/>
              <w:keepLines w:val="0"/>
              <w:pageBreakBefore w:val="0"/>
              <w:widowControl/>
              <w:shd w:val="clear"/>
              <w:wordWrap/>
              <w:overflowPunct/>
              <w:topLinePunct w:val="0"/>
              <w:bidi w:val="0"/>
              <w:snapToGrid w:val="0"/>
              <w:spacing w:line="360" w:lineRule="auto"/>
              <w:rPr>
                <w:rFonts w:hint="eastAsia" w:ascii="仿宋" w:hAnsi="仿宋" w:eastAsia="仿宋" w:cs="仿宋"/>
                <w:sz w:val="24"/>
                <w:szCs w:val="24"/>
                <w:highlight w:val="none"/>
              </w:rPr>
            </w:pPr>
          </w:p>
        </w:tc>
        <w:tc>
          <w:tcPr>
            <w:tcW w:w="2300" w:type="pct"/>
            <w:noWrap w:val="0"/>
            <w:vAlign w:val="top"/>
          </w:tcPr>
          <w:p w14:paraId="69FE9402">
            <w:pPr>
              <w:pStyle w:val="16"/>
              <w:keepNext w:val="0"/>
              <w:keepLines w:val="0"/>
              <w:pageBreakBefore w:val="0"/>
              <w:widowControl/>
              <w:shd w:val="clear"/>
              <w:wordWrap/>
              <w:overflowPunct/>
              <w:topLinePunct w:val="0"/>
              <w:bidi w:val="0"/>
              <w:snapToGrid w:val="0"/>
              <w:spacing w:line="360" w:lineRule="auto"/>
              <w:ind w:left="114"/>
              <w:rPr>
                <w:rFonts w:hint="eastAsia" w:ascii="仿宋" w:hAnsi="仿宋" w:eastAsia="仿宋" w:cs="仿宋"/>
                <w:sz w:val="24"/>
                <w:szCs w:val="24"/>
                <w:highlight w:val="none"/>
                <w:lang w:eastAsia="zh-CN"/>
              </w:rPr>
            </w:pPr>
            <w:r>
              <w:rPr>
                <w:rFonts w:hint="eastAsia" w:ascii="仿宋" w:hAnsi="仿宋" w:eastAsia="仿宋" w:cs="仿宋"/>
                <w:spacing w:val="-2"/>
                <w:sz w:val="24"/>
                <w:szCs w:val="24"/>
                <w:highlight w:val="none"/>
                <w:lang w:eastAsia="zh-CN"/>
              </w:rPr>
              <w:t>开户银行：</w:t>
            </w:r>
          </w:p>
        </w:tc>
      </w:tr>
      <w:tr w14:paraId="104FD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2699" w:type="pct"/>
            <w:noWrap w:val="0"/>
            <w:vAlign w:val="top"/>
          </w:tcPr>
          <w:p w14:paraId="70BDDF7C">
            <w:pPr>
              <w:keepNext w:val="0"/>
              <w:keepLines w:val="0"/>
              <w:pageBreakBefore w:val="0"/>
              <w:widowControl/>
              <w:shd w:val="clear"/>
              <w:wordWrap/>
              <w:overflowPunct/>
              <w:topLinePunct w:val="0"/>
              <w:bidi w:val="0"/>
              <w:snapToGrid w:val="0"/>
              <w:spacing w:line="360" w:lineRule="auto"/>
              <w:rPr>
                <w:rFonts w:hint="eastAsia" w:ascii="仿宋" w:hAnsi="仿宋" w:eastAsia="仿宋" w:cs="仿宋"/>
                <w:sz w:val="24"/>
                <w:szCs w:val="24"/>
                <w:highlight w:val="none"/>
              </w:rPr>
            </w:pPr>
          </w:p>
        </w:tc>
        <w:tc>
          <w:tcPr>
            <w:tcW w:w="2300" w:type="pct"/>
            <w:noWrap w:val="0"/>
            <w:vAlign w:val="top"/>
          </w:tcPr>
          <w:p w14:paraId="04BB352F">
            <w:pPr>
              <w:pStyle w:val="16"/>
              <w:keepNext w:val="0"/>
              <w:keepLines w:val="0"/>
              <w:pageBreakBefore w:val="0"/>
              <w:widowControl/>
              <w:shd w:val="clear"/>
              <w:wordWrap/>
              <w:overflowPunct/>
              <w:topLinePunct w:val="0"/>
              <w:bidi w:val="0"/>
              <w:snapToGrid w:val="0"/>
              <w:spacing w:line="360" w:lineRule="auto"/>
              <w:ind w:left="12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帐号：</w:t>
            </w:r>
          </w:p>
        </w:tc>
      </w:tr>
      <w:tr w14:paraId="54D39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9" w:hRule="atLeast"/>
        </w:trPr>
        <w:tc>
          <w:tcPr>
            <w:tcW w:w="2699" w:type="pct"/>
            <w:noWrap w:val="0"/>
            <w:vAlign w:val="top"/>
          </w:tcPr>
          <w:p w14:paraId="7B2B4B0A">
            <w:pPr>
              <w:pStyle w:val="16"/>
              <w:keepNext w:val="0"/>
              <w:keepLines w:val="0"/>
              <w:pageBreakBefore w:val="0"/>
              <w:widowControl/>
              <w:shd w:val="clear"/>
              <w:wordWrap/>
              <w:overflowPunct/>
              <w:topLinePunct w:val="0"/>
              <w:bidi w:val="0"/>
              <w:snapToGrid w:val="0"/>
              <w:spacing w:line="360" w:lineRule="auto"/>
              <w:ind w:left="155"/>
              <w:rPr>
                <w:rFonts w:hint="eastAsia" w:ascii="仿宋" w:hAnsi="仿宋" w:eastAsia="仿宋" w:cs="仿宋"/>
                <w:sz w:val="24"/>
                <w:szCs w:val="24"/>
                <w:highlight w:val="none"/>
              </w:rPr>
            </w:pPr>
            <w:r>
              <w:rPr>
                <w:rFonts w:hint="eastAsia" w:ascii="仿宋" w:hAnsi="仿宋" w:eastAsia="仿宋" w:cs="仿宋"/>
                <w:spacing w:val="-12"/>
                <w:sz w:val="24"/>
                <w:szCs w:val="24"/>
                <w:highlight w:val="none"/>
              </w:rPr>
              <w:t>日期：</w:t>
            </w:r>
            <w:r>
              <w:rPr>
                <w:rFonts w:hint="eastAsia" w:ascii="仿宋" w:hAnsi="仿宋" w:eastAsia="仿宋" w:cs="仿宋"/>
                <w:spacing w:val="3"/>
                <w:sz w:val="24"/>
                <w:szCs w:val="24"/>
                <w:highlight w:val="none"/>
              </w:rPr>
              <w:t xml:space="preserve">   </w:t>
            </w:r>
            <w:r>
              <w:rPr>
                <w:rFonts w:hint="eastAsia" w:ascii="仿宋" w:hAnsi="仿宋" w:eastAsia="仿宋" w:cs="仿宋"/>
                <w:spacing w:val="-12"/>
                <w:sz w:val="24"/>
                <w:szCs w:val="24"/>
                <w:highlight w:val="none"/>
              </w:rPr>
              <w:t>年</w:t>
            </w:r>
            <w:r>
              <w:rPr>
                <w:rFonts w:hint="eastAsia" w:ascii="仿宋" w:hAnsi="仿宋" w:eastAsia="仿宋" w:cs="仿宋"/>
                <w:spacing w:val="4"/>
                <w:sz w:val="24"/>
                <w:szCs w:val="24"/>
                <w:highlight w:val="none"/>
              </w:rPr>
              <w:t xml:space="preserve">   </w:t>
            </w:r>
            <w:r>
              <w:rPr>
                <w:rFonts w:hint="eastAsia" w:ascii="仿宋" w:hAnsi="仿宋" w:eastAsia="仿宋" w:cs="仿宋"/>
                <w:spacing w:val="-12"/>
                <w:sz w:val="24"/>
                <w:szCs w:val="24"/>
                <w:highlight w:val="none"/>
              </w:rPr>
              <w:t>月</w:t>
            </w:r>
            <w:r>
              <w:rPr>
                <w:rFonts w:hint="eastAsia" w:ascii="仿宋" w:hAnsi="仿宋" w:eastAsia="仿宋" w:cs="仿宋"/>
                <w:spacing w:val="15"/>
                <w:sz w:val="24"/>
                <w:szCs w:val="24"/>
                <w:highlight w:val="none"/>
              </w:rPr>
              <w:t xml:space="preserve">   </w:t>
            </w:r>
            <w:r>
              <w:rPr>
                <w:rFonts w:hint="eastAsia" w:ascii="仿宋" w:hAnsi="仿宋" w:eastAsia="仿宋" w:cs="仿宋"/>
                <w:spacing w:val="-12"/>
                <w:sz w:val="24"/>
                <w:szCs w:val="24"/>
                <w:highlight w:val="none"/>
              </w:rPr>
              <w:t>日</w:t>
            </w:r>
          </w:p>
        </w:tc>
        <w:tc>
          <w:tcPr>
            <w:tcW w:w="2300" w:type="pct"/>
            <w:noWrap w:val="0"/>
            <w:vAlign w:val="top"/>
          </w:tcPr>
          <w:p w14:paraId="057D15BB">
            <w:pPr>
              <w:pStyle w:val="16"/>
              <w:keepNext w:val="0"/>
              <w:keepLines w:val="0"/>
              <w:pageBreakBefore w:val="0"/>
              <w:widowControl/>
              <w:shd w:val="clear"/>
              <w:wordWrap/>
              <w:overflowPunct/>
              <w:topLinePunct w:val="0"/>
              <w:bidi w:val="0"/>
              <w:snapToGrid w:val="0"/>
              <w:spacing w:line="360" w:lineRule="auto"/>
              <w:ind w:left="152"/>
              <w:rPr>
                <w:rFonts w:hint="eastAsia" w:ascii="仿宋" w:hAnsi="仿宋" w:eastAsia="仿宋" w:cs="仿宋"/>
                <w:sz w:val="24"/>
                <w:szCs w:val="24"/>
                <w:highlight w:val="none"/>
              </w:rPr>
            </w:pPr>
            <w:r>
              <w:rPr>
                <w:rFonts w:hint="eastAsia" w:ascii="仿宋" w:hAnsi="仿宋" w:eastAsia="仿宋" w:cs="仿宋"/>
                <w:spacing w:val="-12"/>
                <w:sz w:val="24"/>
                <w:szCs w:val="24"/>
                <w:highlight w:val="none"/>
              </w:rPr>
              <w:t>日期：</w:t>
            </w:r>
            <w:r>
              <w:rPr>
                <w:rFonts w:hint="eastAsia" w:ascii="仿宋" w:hAnsi="仿宋" w:eastAsia="仿宋" w:cs="仿宋"/>
                <w:spacing w:val="3"/>
                <w:sz w:val="24"/>
                <w:szCs w:val="24"/>
                <w:highlight w:val="none"/>
              </w:rPr>
              <w:t xml:space="preserve">   </w:t>
            </w:r>
            <w:r>
              <w:rPr>
                <w:rFonts w:hint="eastAsia" w:ascii="仿宋" w:hAnsi="仿宋" w:eastAsia="仿宋" w:cs="仿宋"/>
                <w:spacing w:val="-12"/>
                <w:sz w:val="24"/>
                <w:szCs w:val="24"/>
                <w:highlight w:val="none"/>
              </w:rPr>
              <w:t>年</w:t>
            </w:r>
            <w:r>
              <w:rPr>
                <w:rFonts w:hint="eastAsia" w:ascii="仿宋" w:hAnsi="仿宋" w:eastAsia="仿宋" w:cs="仿宋"/>
                <w:spacing w:val="4"/>
                <w:sz w:val="24"/>
                <w:szCs w:val="24"/>
                <w:highlight w:val="none"/>
              </w:rPr>
              <w:t xml:space="preserve">   </w:t>
            </w:r>
            <w:r>
              <w:rPr>
                <w:rFonts w:hint="eastAsia" w:ascii="仿宋" w:hAnsi="仿宋" w:eastAsia="仿宋" w:cs="仿宋"/>
                <w:spacing w:val="-12"/>
                <w:sz w:val="24"/>
                <w:szCs w:val="24"/>
                <w:highlight w:val="none"/>
              </w:rPr>
              <w:t>月</w:t>
            </w:r>
            <w:r>
              <w:rPr>
                <w:rFonts w:hint="eastAsia" w:ascii="仿宋" w:hAnsi="仿宋" w:eastAsia="仿宋" w:cs="仿宋"/>
                <w:spacing w:val="16"/>
                <w:sz w:val="24"/>
                <w:szCs w:val="24"/>
                <w:highlight w:val="none"/>
              </w:rPr>
              <w:t xml:space="preserve">   </w:t>
            </w:r>
            <w:r>
              <w:rPr>
                <w:rFonts w:hint="eastAsia" w:ascii="仿宋" w:hAnsi="仿宋" w:eastAsia="仿宋" w:cs="仿宋"/>
                <w:spacing w:val="-12"/>
                <w:sz w:val="24"/>
                <w:szCs w:val="24"/>
                <w:highlight w:val="none"/>
              </w:rPr>
              <w:t>日</w:t>
            </w:r>
          </w:p>
        </w:tc>
      </w:tr>
    </w:tbl>
    <w:p w14:paraId="46C673E2">
      <w:pPr>
        <w:pStyle w:val="17"/>
        <w:rPr>
          <w:rFonts w:hint="eastAsia"/>
          <w:lang w:val="en-US" w:eastAsia="zh-Hans"/>
        </w:rPr>
      </w:pPr>
    </w:p>
    <w:p w14:paraId="5E4B836F">
      <w:bookmarkStart w:id="25" w:name="_GoBack"/>
      <w:bookmarkEnd w:id="25"/>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o shen">
    <w15:presenceInfo w15:providerId="None" w15:userId="leo s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CF3010"/>
    <w:rsid w:val="06CC0A35"/>
    <w:rsid w:val="0D6C0594"/>
    <w:rsid w:val="0FD8068E"/>
    <w:rsid w:val="1A266374"/>
    <w:rsid w:val="1FF17CBA"/>
    <w:rsid w:val="3DCF3010"/>
    <w:rsid w:val="40046496"/>
    <w:rsid w:val="42CD30A6"/>
    <w:rsid w:val="47C27346"/>
    <w:rsid w:val="6839418E"/>
    <w:rsid w:val="6ACD08C4"/>
    <w:rsid w:val="760555E1"/>
    <w:rsid w:val="76D77B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4"/>
    <w:link w:val="15"/>
    <w:unhideWhenUsed/>
    <w:qFormat/>
    <w:uiPriority w:val="0"/>
    <w:pPr>
      <w:spacing w:line="360" w:lineRule="auto"/>
      <w:jc w:val="center"/>
      <w:outlineLvl w:val="1"/>
    </w:pPr>
    <w:rPr>
      <w:rFonts w:ascii="仿宋" w:hAnsi="仿宋" w:eastAsia="仿宋" w:cs="仿宋"/>
      <w:b/>
      <w:bCs/>
      <w:sz w:val="24"/>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1"/>
    </w:rPr>
  </w:style>
  <w:style w:type="paragraph" w:styleId="6">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7">
    <w:name w:val="Body Text"/>
    <w:basedOn w:val="1"/>
    <w:next w:val="1"/>
    <w:qFormat/>
    <w:uiPriority w:val="0"/>
    <w:rPr>
      <w:rFonts w:ascii="宋体" w:hAnsi="宋体" w:eastAsia="宋体" w:cs="宋体"/>
      <w:sz w:val="20"/>
      <w:szCs w:val="20"/>
      <w:lang w:val="en-US" w:eastAsia="en-US" w:bidi="ar-SA"/>
    </w:rPr>
  </w:style>
  <w:style w:type="paragraph" w:styleId="8">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7"/>
    <w:next w:val="11"/>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1">
    <w:name w:val="Body Text First Indent 2"/>
    <w:basedOn w:val="8"/>
    <w:next w:val="1"/>
    <w:qFormat/>
    <w:uiPriority w:val="0"/>
    <w:pPr>
      <w:ind w:firstLine="420" w:firstLineChars="200"/>
    </w:pPr>
  </w:style>
  <w:style w:type="character" w:styleId="14">
    <w:name w:val="Hyperlink"/>
    <w:basedOn w:val="13"/>
    <w:unhideWhenUsed/>
    <w:qFormat/>
    <w:uiPriority w:val="99"/>
    <w:rPr>
      <w:color w:val="0026E5" w:themeColor="hyperlink"/>
      <w:u w:val="single"/>
      <w14:textFill>
        <w14:solidFill>
          <w14:schemeClr w14:val="hlink"/>
        </w14:solidFill>
      </w14:textFill>
    </w:rPr>
  </w:style>
  <w:style w:type="character" w:customStyle="1" w:styleId="15">
    <w:name w:val="标题 2 字符"/>
    <w:link w:val="3"/>
    <w:autoRedefine/>
    <w:qFormat/>
    <w:uiPriority w:val="0"/>
    <w:rPr>
      <w:rFonts w:ascii="仿宋" w:hAnsi="仿宋" w:eastAsia="仿宋" w:cs="仿宋"/>
      <w:b/>
      <w:bCs/>
      <w:sz w:val="24"/>
    </w:rPr>
  </w:style>
  <w:style w:type="paragraph" w:customStyle="1" w:styleId="16">
    <w:name w:val="Table Text"/>
    <w:basedOn w:val="1"/>
    <w:semiHidden/>
    <w:qFormat/>
    <w:uiPriority w:val="0"/>
    <w:pPr>
      <w:kinsoku w:val="0"/>
      <w:autoSpaceDE w:val="0"/>
      <w:autoSpaceDN w:val="0"/>
      <w:adjustRightInd w:val="0"/>
      <w:snapToGrid w:val="0"/>
      <w:textAlignment w:val="baseline"/>
    </w:pPr>
    <w:rPr>
      <w:rFonts w:eastAsia="宋体"/>
      <w:snapToGrid w:val="0"/>
      <w:color w:val="000000"/>
      <w:sz w:val="28"/>
      <w:szCs w:val="28"/>
      <w:lang w:eastAsia="en-US"/>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2025-12-24T01:39:00Z</dcterms:created>
  <dc:creator>陕西笃信招标有限公司</dc:creator>
  <cp:lastModifiedBy>陕西笃信招标有限公司</cp:lastModifiedBy>
  <dcterms:modified xsi:type="dcterms:W3CDTF">2025-12-24T01:53:22Z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300C80DF7D54421F97412672A20921F4_13</vt:lpwstr>
  </property>
  <property fmtid="{D5CDD505-2E9C-101B-9397-08002B2CF9AE}" pid="4" name="KSOTemplateDocerSaveRecord">
    <vt:lpwstr>eyJoZGlkIjoiNzg2YzQ2Nzk4M2IwOWVlMWU4NjljZTZlNTRmMjFkNDkiLCJ1c2VySWQiOiI5MTQ3Njg1NjkifQ==</vt:lpwstr>
  </property>
</Properties>
</file>