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版本号：JC2025-CG0502(36)20251205001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长安区潏河城南大道至长安公园潏河新桥段防洪能力提升工程勘察设计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JC2025-CG0502(36)</w:t>
      </w:r>
      <w:r>
        <w:br/>
      </w:r>
      <w:r>
        <w:br/>
      </w:r>
      <w:r>
        <w:br/>
      </w:r>
    </w:p>
    <w:p>
      <w:pPr>
        <w:pStyle w:val="null3"/>
        <w:jc w:val="center"/>
        <w:outlineLvl w:val="2"/>
      </w:pPr>
      <w:r>
        <w:rPr>
          <w:rFonts w:ascii="仿宋_GB2312" w:hAnsi="仿宋_GB2312" w:cs="仿宋_GB2312" w:eastAsia="仿宋_GB2312"/>
          <w:sz w:val="28"/>
          <w:b/>
        </w:rPr>
        <w:t>西安市长安区河道管理中心</w:t>
      </w:r>
    </w:p>
    <w:p>
      <w:pPr>
        <w:pStyle w:val="null3"/>
        <w:jc w:val="center"/>
        <w:outlineLvl w:val="2"/>
      </w:pPr>
      <w:r>
        <w:rPr>
          <w:rFonts w:ascii="仿宋_GB2312" w:hAnsi="仿宋_GB2312" w:cs="仿宋_GB2312" w:eastAsia="仿宋_GB2312"/>
          <w:sz w:val="28"/>
          <w:b/>
        </w:rPr>
        <w:t>陕西景诚项目管理有限公司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陕西景诚项目管理有限公司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西安市长安区河道管理中心</w:t>
      </w:r>
      <w:r>
        <w:rPr>
          <w:rFonts w:ascii="仿宋_GB2312" w:hAnsi="仿宋_GB2312" w:cs="仿宋_GB2312" w:eastAsia="仿宋_GB2312"/>
        </w:rPr>
        <w:t>委托，拟对</w:t>
      </w:r>
      <w:r>
        <w:rPr>
          <w:rFonts w:ascii="仿宋_GB2312" w:hAnsi="仿宋_GB2312" w:cs="仿宋_GB2312" w:eastAsia="仿宋_GB2312"/>
        </w:rPr>
        <w:t>长安区潏河城南大道至长安公园潏河新桥段防洪能力提升工程勘察设计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JC2025-CG0502(36)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长安区潏河城南大道至长安公园潏河新桥段防洪能力提升工程勘察设计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长安区潏河城南大道至长安公园潏河新桥段防洪能力提升工程勘察设计，工程起点位于潏河城南大道桥，终点位于长安公园潏河新桥，治理河道长度约1.185km。主要建设内容:①新建右岸堤防1175m;②新建堤防防护工程150m;③修筑防汛道路1175m;④滩面整理范围为1+000-1+185右岸，整理面积19525m²。本次采购范围：包含但不限于项目勘察、初步设计（代可研），含图纸及设计概算、施工图设计及预算等相关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采购包1（长安区潏河城南大道至长安公园潏河新桥段防洪能力提升工程勘察设计）：属于专门面向中小企业采购。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须具备有效的主体资格证明：供应商须具备有效的主体资格证明：在中华人民共和国境内注册，依法取得并有效存续的营业执照（含电子营业执照）\事业单位法人证书\民办非企业单位登记证书\非企业专业服务机构执业许可证等；</w:t>
      </w:r>
    </w:p>
    <w:p>
      <w:pPr>
        <w:pStyle w:val="null3"/>
      </w:pPr>
      <w:r>
        <w:rPr>
          <w:rFonts w:ascii="仿宋_GB2312" w:hAnsi="仿宋_GB2312" w:cs="仿宋_GB2312" w:eastAsia="仿宋_GB2312"/>
        </w:rPr>
        <w:t>2、财务状况报告：供应商具有良好的商业信誉和健全的财务会计制度：提供2024年度经审计的财务会计报告（至少包括审计报告、资产负债表和利润表，成立时间至响应文件递交截止时间不足一年的可提供成立后任意时段的资产负债表）或提供响应文件递交截止时间前三个月内其基本账户开户银行出具的资信证明（附基本存款账户信息），以上形式的证明资料提供任何一种即可；</w:t>
      </w:r>
    </w:p>
    <w:p>
      <w:pPr>
        <w:pStyle w:val="null3"/>
      </w:pPr>
      <w:r>
        <w:rPr>
          <w:rFonts w:ascii="仿宋_GB2312" w:hAnsi="仿宋_GB2312" w:cs="仿宋_GB2312" w:eastAsia="仿宋_GB2312"/>
        </w:rPr>
        <w:t>3、税收缴纳证明：有依法缴纳税收的良好记录：提供响应文件递交截止时间前一年内至少一个月的纳税证明或完税证明（增值税、营业税、企业所得税至少提供一种），纳税证明或完税证明上应有代收机构或税务机关的公章或业务专用章。依法免税的单位应提供相关证明材料；</w:t>
      </w:r>
    </w:p>
    <w:p>
      <w:pPr>
        <w:pStyle w:val="null3"/>
      </w:pPr>
      <w:r>
        <w:rPr>
          <w:rFonts w:ascii="仿宋_GB2312" w:hAnsi="仿宋_GB2312" w:cs="仿宋_GB2312" w:eastAsia="仿宋_GB2312"/>
        </w:rPr>
        <w:t>4、社保资金缴纳证明：有依法缴纳社会保障资金的良好记录：提供响应文件递交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w:t>
      </w:r>
    </w:p>
    <w:p>
      <w:pPr>
        <w:pStyle w:val="null3"/>
      </w:pPr>
      <w:r>
        <w:rPr>
          <w:rFonts w:ascii="仿宋_GB2312" w:hAnsi="仿宋_GB2312" w:cs="仿宋_GB2312" w:eastAsia="仿宋_GB2312"/>
        </w:rPr>
        <w:t>5、无重大违法记录声明：提供参加政府采购活动前三年内在经营活动中没有重大违法记录的书面声明；</w:t>
      </w:r>
    </w:p>
    <w:p>
      <w:pPr>
        <w:pStyle w:val="null3"/>
      </w:pPr>
      <w:r>
        <w:rPr>
          <w:rFonts w:ascii="仿宋_GB2312" w:hAnsi="仿宋_GB2312" w:cs="仿宋_GB2312" w:eastAsia="仿宋_GB2312"/>
        </w:rPr>
        <w:t>6、具有履行合同所必需的设备和专业技术能力：提供具有履行本合同所必需的设备和专业技术能力的承诺；</w:t>
      </w:r>
    </w:p>
    <w:p>
      <w:pPr>
        <w:pStyle w:val="null3"/>
      </w:pPr>
      <w:r>
        <w:rPr>
          <w:rFonts w:ascii="仿宋_GB2312" w:hAnsi="仿宋_GB2312" w:cs="仿宋_GB2312" w:eastAsia="仿宋_GB2312"/>
        </w:rPr>
        <w:t>7、供应商应授权合法的人员参加磋商全过程：法定代表人直接参加磋商的，须出具法定代表人身份证明及身份证，法定代表人委托代理人参加磋商的，须出具法定代表人授权委托书及身份证；</w:t>
      </w:r>
    </w:p>
    <w:p>
      <w:pPr>
        <w:pStyle w:val="null3"/>
      </w:pPr>
      <w:r>
        <w:rPr>
          <w:rFonts w:ascii="仿宋_GB2312" w:hAnsi="仿宋_GB2312" w:cs="仿宋_GB2312" w:eastAsia="仿宋_GB2312"/>
        </w:rPr>
        <w:t>8、供应商资质：供应商须具备工程勘察（岩土工程）专业乙级（含乙级）以上资质，同时具备工程设计水利行业乙级（含乙级）以上资质或水利行业（河道整治与城市防洪）专业乙级（含乙级）以上资质；</w:t>
      </w:r>
    </w:p>
    <w:p>
      <w:pPr>
        <w:pStyle w:val="null3"/>
      </w:pPr>
      <w:r>
        <w:rPr>
          <w:rFonts w:ascii="仿宋_GB2312" w:hAnsi="仿宋_GB2312" w:cs="仿宋_GB2312" w:eastAsia="仿宋_GB2312"/>
        </w:rPr>
        <w:t>9、项目负责人：拟派项目负责人须具备以下①或②的资格要求：①勘察负责人要求：具备注册土木工程师(岩土)注册执业证书；②设计负责人要求：具备注册土木工程师(水利水电工程)资格证书或水利相关专业高级及以上技术职称。拟派项目负责人与勘察负责人或设计负责人可为同一人。</w:t>
      </w:r>
    </w:p>
    <w:p>
      <w:pPr>
        <w:pStyle w:val="null3"/>
      </w:pPr>
      <w:r>
        <w:rPr>
          <w:rFonts w:ascii="仿宋_GB2312" w:hAnsi="仿宋_GB2312" w:cs="仿宋_GB2312" w:eastAsia="仿宋_GB2312"/>
        </w:rPr>
        <w:t>10、供应商信用信息：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信用记录在资格审查阶段通过互联网或者相关系统对供应商的信用情况进行甄别）；</w:t>
      </w:r>
    </w:p>
    <w:p>
      <w:pPr>
        <w:pStyle w:val="null3"/>
      </w:pPr>
      <w:r>
        <w:rPr>
          <w:rFonts w:ascii="仿宋_GB2312" w:hAnsi="仿宋_GB2312" w:cs="仿宋_GB2312" w:eastAsia="仿宋_GB2312"/>
        </w:rPr>
        <w:t>11、非联合体磋商：本项目不接受联合体磋商。单位负责人为同一人或者存在直接控股、管理关系的不同单位不得同时参加。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西安市长安区河道管理中心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西安市长安区建材街与润安路十字东北角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贾少楠</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029-85291983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陕西景诚项目管理有限公司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西安市高新区沣惠南路16号泰华金贸国际4号楼2203室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蔡文娟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029-88228971/17392954351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政府采购中心</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采购包1：392,900.00元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由成交供应商在领取《成交通知书》时，一次性足额向招标代理机构支付；招标代理服务费为人民币陆仟元整（¥6000.00元）。2.缴纳账户信息：开户名称：陕西景诚项目管理有限公司，开户行：西安银行股份有限公司长安西路支行，账号：515011580000149177。</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西安市长安区河道管理中心</w:t>
      </w:r>
      <w:r>
        <w:rPr>
          <w:rFonts w:ascii="仿宋_GB2312" w:hAnsi="仿宋_GB2312" w:cs="仿宋_GB2312" w:eastAsia="仿宋_GB2312"/>
        </w:rPr>
        <w:t>和</w:t>
      </w:r>
      <w:r>
        <w:rPr>
          <w:rFonts w:ascii="仿宋_GB2312" w:hAnsi="仿宋_GB2312" w:cs="仿宋_GB2312" w:eastAsia="仿宋_GB2312"/>
        </w:rPr>
        <w:t>陕西景诚项目管理有限公司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西安市长安区河道管理中心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陕西景诚项目管理有限公司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西安市长安区河道管理中心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陕西景诚项目管理有限公司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标准：各项工作的质量标准和作业规范须符合国家现行规范及行业标准，通过行业主管部门及行政审批部门技术评审并获得相关批复文件；（2）验收依据：采购人根据采购文件、响应文件及合同约定进行验收；（3）成交供应商完成勘察设计工作并提交成果文件后提出验收申请，由采购人及相关部门组织验收。勘察设计文件经审定后，向采购人提交最终成果文件；（4）验收过程中所产生的费用由供应商承担。</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陕西景诚项目管理有限公司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陕西景诚项目管理有限公司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陕西景诚项目管理有限公司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联系人：蔡文娟</w:t>
      </w:r>
    </w:p>
    <w:p>
      <w:pPr>
        <w:pStyle w:val="null3"/>
      </w:pPr>
      <w:r>
        <w:rPr>
          <w:rFonts w:ascii="仿宋_GB2312" w:hAnsi="仿宋_GB2312" w:cs="仿宋_GB2312" w:eastAsia="仿宋_GB2312"/>
        </w:rPr>
        <w:t>联系电话：029-88228971</w:t>
      </w:r>
    </w:p>
    <w:p>
      <w:pPr>
        <w:pStyle w:val="null3"/>
      </w:pPr>
      <w:r>
        <w:rPr>
          <w:rFonts w:ascii="仿宋_GB2312" w:hAnsi="仿宋_GB2312" w:cs="仿宋_GB2312" w:eastAsia="仿宋_GB2312"/>
        </w:rPr>
        <w:t>地址：西安市高新区沣惠南路16号泰华金贸国际4号楼2203室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长安区潏河城南大道至长安公园潏河新桥段防洪能力提升工程勘察设计，工程起点位于潏河城南大道桥，终点位于长安公园潏河新桥，治理河道长度约1.185km。主要建设内容:①新建右岸堤防1175m;②新建堤防防护工程150m;③修筑防汛道路1175m;④滩面整理范围为1+000-1+185右岸，整理面积19525m²。本次采购范围：包含但不限于项目勘察、初步设计（代可研），含图纸及设计概算、施工图设计及预算等相关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392,900.00</w:t>
      </w:r>
    </w:p>
    <w:p>
      <w:pPr>
        <w:pStyle w:val="null3"/>
      </w:pPr>
      <w:r>
        <w:rPr>
          <w:rFonts w:ascii="仿宋_GB2312" w:hAnsi="仿宋_GB2312" w:cs="仿宋_GB2312" w:eastAsia="仿宋_GB2312"/>
        </w:rPr>
        <w:t>采购包最高限价（元）: 392,900.00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长安区潏河城南大道至长安公园潏河新桥段防洪能力提升工程勘察设计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392,900.00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标的名称：长安区潏河城南大道至长安公园潏河新桥段防洪能力提升工程勘察设计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rPr>
              <w:t>一、项目概况：</w:t>
            </w:r>
          </w:p>
          <w:p>
            <w:pPr>
              <w:pStyle w:val="null3"/>
              <w:jc w:val="both"/>
            </w:pPr>
            <w:r>
              <w:rPr>
                <w:rFonts w:ascii="仿宋_GB2312" w:hAnsi="仿宋_GB2312" w:cs="仿宋_GB2312" w:eastAsia="仿宋_GB2312"/>
                <w:sz w:val="20"/>
              </w:rPr>
              <w:t>长安区潏河城南大道至长安公园潏河新桥段防洪能力提升工程勘察设计，工程起点位于潏河城南大道桥，终点位于长安公园潏河新桥，治理河道长度约</w:t>
            </w:r>
            <w:r>
              <w:rPr>
                <w:rFonts w:ascii="仿宋_GB2312" w:hAnsi="仿宋_GB2312" w:cs="仿宋_GB2312" w:eastAsia="仿宋_GB2312"/>
                <w:sz w:val="20"/>
              </w:rPr>
              <w:t>1.185km。主要建设内容:①新建右岸堤防1175m;②新建堤防防护工程150m;③修筑防汛道路1175m;④滩面整理范围为1+000-1+185右岸，整理面积19525m²。本次采购范围：包含但不限于项目勘察、初步设计（代可研），含图纸及设计概算、施工图设计及预算等相关服务。</w:t>
            </w:r>
          </w:p>
          <w:p>
            <w:pPr>
              <w:pStyle w:val="null3"/>
              <w:jc w:val="both"/>
            </w:pPr>
            <w:r>
              <w:rPr>
                <w:rFonts w:ascii="仿宋_GB2312" w:hAnsi="仿宋_GB2312" w:cs="仿宋_GB2312" w:eastAsia="仿宋_GB2312"/>
                <w:sz w:val="20"/>
              </w:rPr>
              <w:t>二、技术标准：</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1）《水利工程建设标准强制性条文》（2020年版）；</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2）《防洪标准》（GB50201-2014）；</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3）《水利水电工程等级划分及洪水标准》（SL252-2017）；</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4）《水利水电工程初步设计报告编制规程》（SL619-2021）；</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5）《水利水电工程合理使用年限及耐久性设计规范》（SL654-2014）；</w:t>
            </w:r>
          </w:p>
          <w:p>
            <w:pPr>
              <w:pStyle w:val="null3"/>
              <w:jc w:val="both"/>
            </w:pPr>
            <w:r>
              <w:rPr>
                <w:rFonts w:ascii="仿宋_GB2312" w:hAnsi="仿宋_GB2312" w:cs="仿宋_GB2312" w:eastAsia="仿宋_GB2312"/>
                <w:sz w:val="20"/>
              </w:rPr>
              <w:t>（6）《水工建筑物抗冰冻设计规范》（SL211-2006）；</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7）《堤防工程地质勘察规范》SL188—2005；</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8）《中小型水利水电工程地质勘察规范》（SL55－2005）；</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9）《水利水电工程天然建材勘察规程》（SL251－2015）；</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10）《水利水电工程设计洪水计算规范》（SL44-2006）；</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11）《山洪沟防洪治理工程技术规范》（SL/T778-2019）；</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12）《水工挡土墙设计规范》（SL379-2007）；</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13）《水工混凝土结构设计规范》（SL191-2008）；</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14）《水工建筑物荷载设计规范》（SL744-2016）；</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15）《水工建筑物抗震设计标准》（GB51247-2018）；</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16）《水利水电工程水文计算规范》（SL/T278-2020）；</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17）《疏浚与吹填工程技术规范》（SL17-2014）；</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18）《水利水电工程施工组织设计规范》（SL303-2017）；</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19）其他有关规程、规范及技术标准。如有最新颁布的规范及标准文件，按最新的文件执行。</w:t>
            </w:r>
          </w:p>
          <w:p>
            <w:pPr>
              <w:pStyle w:val="null3"/>
              <w:jc w:val="both"/>
            </w:pPr>
            <w:r>
              <w:rPr>
                <w:rFonts w:ascii="仿宋_GB2312" w:hAnsi="仿宋_GB2312" w:cs="仿宋_GB2312" w:eastAsia="仿宋_GB2312"/>
                <w:sz w:val="20"/>
              </w:rPr>
              <w:t>三、成果资料：</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1）勘察报告：包含工程地质岩土勘察报告相关的所有资料；</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2）初步设计（代可研）文件：包含平面图及设计概算及其他相关的所有资料；</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3）施工图设计文件：包含施工图设计文件相关的所有资料；</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4）份数：勘察设计人应向发包人分别提供纸质版勘察报告、初步设计文件（含平面图及设计概算）各10套，施工图设计文件8套，并按发包人要求格式提供电子版光盘及U盘各2套。</w:t>
            </w:r>
          </w:p>
          <w:p>
            <w:pPr>
              <w:pStyle w:val="null3"/>
            </w:pPr>
            <w:r>
              <w:rPr>
                <w:rFonts w:ascii="仿宋_GB2312" w:hAnsi="仿宋_GB2312" w:cs="仿宋_GB2312" w:eastAsia="仿宋_GB2312"/>
                <w:sz w:val="20"/>
              </w:rPr>
              <w:t>四、其他未尽事宜按采购人及上级部门要求执行。</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0"/>
              </w:rPr>
              <w:t>商务要求：</w:t>
            </w:r>
          </w:p>
          <w:p>
            <w:pPr>
              <w:pStyle w:val="null3"/>
            </w:pPr>
            <w:r>
              <w:rPr>
                <w:rFonts w:ascii="仿宋_GB2312" w:hAnsi="仿宋_GB2312" w:cs="仿宋_GB2312" w:eastAsia="仿宋_GB2312"/>
                <w:sz w:val="20"/>
              </w:rPr>
              <w:t>一、服务期限：</w:t>
            </w:r>
            <w:r>
              <w:rPr>
                <w:rFonts w:ascii="仿宋_GB2312" w:hAnsi="仿宋_GB2312" w:cs="仿宋_GB2312" w:eastAsia="仿宋_GB2312"/>
                <w:sz w:val="20"/>
              </w:rPr>
              <w:t>自合同签订之日起</w:t>
            </w:r>
            <w:r>
              <w:rPr>
                <w:rFonts w:ascii="仿宋_GB2312" w:hAnsi="仿宋_GB2312" w:cs="仿宋_GB2312" w:eastAsia="仿宋_GB2312"/>
                <w:sz w:val="20"/>
              </w:rPr>
              <w:t>30</w:t>
            </w:r>
            <w:r>
              <w:rPr>
                <w:rFonts w:ascii="仿宋_GB2312" w:hAnsi="仿宋_GB2312" w:cs="仿宋_GB2312" w:eastAsia="仿宋_GB2312"/>
                <w:sz w:val="20"/>
              </w:rPr>
              <w:t>日历天</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二、服务地点：采购人指定地点</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三、</w:t>
            </w:r>
            <w:r>
              <w:rPr>
                <w:rFonts w:ascii="仿宋_GB2312" w:hAnsi="仿宋_GB2312" w:cs="仿宋_GB2312" w:eastAsia="仿宋_GB2312"/>
                <w:sz w:val="20"/>
              </w:rPr>
              <w:t>质量标准：符合国家现行规范及行业标准。</w:t>
            </w:r>
          </w:p>
          <w:p>
            <w:pPr>
              <w:pStyle w:val="null3"/>
              <w:jc w:val="both"/>
            </w:pPr>
            <w:r>
              <w:rPr>
                <w:rFonts w:ascii="仿宋_GB2312" w:hAnsi="仿宋_GB2312" w:cs="仿宋_GB2312" w:eastAsia="仿宋_GB2312"/>
                <w:sz w:val="20"/>
              </w:rPr>
              <w:t>四、</w:t>
            </w:r>
            <w:r>
              <w:rPr>
                <w:rFonts w:ascii="仿宋_GB2312" w:hAnsi="仿宋_GB2312" w:cs="仿宋_GB2312" w:eastAsia="仿宋_GB2312"/>
                <w:sz w:val="20"/>
              </w:rPr>
              <w:t>付款方式：</w:t>
            </w:r>
            <w:r>
              <w:rPr>
                <w:rFonts w:ascii="仿宋_GB2312" w:hAnsi="仿宋_GB2312" w:cs="仿宋_GB2312" w:eastAsia="仿宋_GB2312"/>
                <w:sz w:val="20"/>
              </w:rPr>
              <w:t>1、初步设计文件审定后，支付合同总金额的50%，提交施工图设计文件后，支付至合同总金额的80%，工程竣工验收后支付合同至总金额的100%。2、发包人在支付每一笔费用之前，勘察设计人应当向发包人出具等额、合规的发票。</w:t>
            </w:r>
          </w:p>
          <w:p>
            <w:pPr>
              <w:pStyle w:val="null3"/>
              <w:jc w:val="both"/>
            </w:pPr>
            <w:r>
              <w:rPr>
                <w:rFonts w:ascii="仿宋_GB2312" w:hAnsi="仿宋_GB2312" w:cs="仿宋_GB2312" w:eastAsia="仿宋_GB2312"/>
                <w:sz w:val="20"/>
              </w:rPr>
              <w:t>五、违约责任：</w:t>
            </w:r>
            <w:r>
              <w:rPr>
                <w:rFonts w:ascii="仿宋_GB2312" w:hAnsi="仿宋_GB2312" w:cs="仿宋_GB2312" w:eastAsia="仿宋_GB2312"/>
                <w:sz w:val="20"/>
              </w:rPr>
              <w:t>1、依据《中华人民共和国民法典》、《中华人民共和国政府采购法》的相关条款和本合同约定的相关条款执行。2、成交供应商未按合同要求履行，不符合磋商技术要求，成交供应商必须无条件更换人员或设备，提高技术，完善质量，否则，采购人有权终止合同，并对成交供应商的违约行为进行追究。</w:t>
            </w:r>
          </w:p>
          <w:p>
            <w:pPr>
              <w:pStyle w:val="null3"/>
            </w:pPr>
            <w:r>
              <w:rPr>
                <w:rFonts w:ascii="仿宋_GB2312" w:hAnsi="仿宋_GB2312" w:cs="仿宋_GB2312" w:eastAsia="仿宋_GB2312"/>
                <w:sz w:val="20"/>
                <w:b/>
              </w:rPr>
              <w:t>备注：商务要求为实质性条款，不允许负偏离。</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根据采购文件要求及合同约定配备。</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根据采购文件要求及合同约定配备。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标准：各项工作的质量标准和作业规范须符合国家现行规范及行业标准，通过行业主管部门及行政审批部门技术评审并获得相关批复文件；（2）验收依据：采购人根据采购文件、响应文件及合同约定进行验收；（3）成交供应商完成勘察设计工作并提交成果文件后提出验收申请，由采购人及相关部门组织验收。勘察设计文件经审定后，向采购人提交最终成果文件；（4）验收过程中所产生的费用由供应商承担。</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初步设计文件审定后，发包人在支付每一笔费用之前，勘察设计人应当向发包人出具等额、合规的发票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提交施工图设计文件后，发包人在支付每一笔费用之前，勘察设计人应当向发包人出具等额、合规的发票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工程竣工验收后，发包人在支付每一笔费用之前，勘察设计人应当向发包人出具等额、合规的发票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2、未按合同要求提供服务或服务质量不能满足技术要求及合同要求，采购人应当将供应商违约情况以及拟采取的措施以书面形式报政府采购监管部门，根据政府采购监管部门的处理意见，采购人有权依据《中华人民共和国民法典》有关条款及合同约定终止合同，并要求供应商承担违约责任。同时，政府采购监管部门有权依据《中华人民共和国政府采购法》及相关法律法规对供应商的违约行为进行相应的处罚。3、合同争议的最终解决方式为向项目所在地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的磋商报价应是为完成本项目磋商文件中所提出的服务范围及要求的全部工作内容的价格体现，包括供应商完成本项目所需的直接费、间接费、利润、税金及其它相关的一切费用。包括但不限于：人工费、设备费、管理费、验收费、利润和税金等全部费用。在提供服务的过程中的任何遗漏，均由成交供应商免费提供，采购人将不再支付任何费用。2、项目类型：服务。3、本项目所属行业为：其他未列明行业。从业人员300人以下的为中小微型企业。其中，从业人员100人及以上的为中型企业；从业人员10人及以上的为小型企业；从业人员10人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供应商须具备有效的主体资格证明</w:t>
            </w:r>
          </w:p>
        </w:tc>
        <w:tc>
          <w:tcPr>
            <w:tcW w:type="dxa" w:w="3322"/>
          </w:tcPr>
          <w:p>
            <w:pPr>
              <w:pStyle w:val="null3"/>
            </w:pPr>
            <w:r>
              <w:rPr>
                <w:rFonts w:ascii="仿宋_GB2312" w:hAnsi="仿宋_GB2312" w:cs="仿宋_GB2312" w:eastAsia="仿宋_GB2312"/>
              </w:rPr>
              <w:t>供应商须具备有效的主体资格证明：在中华人民共和国境内注册，依法取得并有效存续的营业执照（含电子营业执照）\事业单位法人证书\民办非企业单位登记证书\非企业专业服务机构执业许可证等；</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具有良好的商业信誉和健全的财务会计制度：提供2024年度经审计的财务会计报告（至少包括审计报告、资产负债表和利润表，成立时间至响应文件递交截止时间不足一年的可提供成立后任意时段的资产负债表）或提供响应文件递交截止时间前三个月内其基本账户开户银行出具的资信证明（附基本存款账户信息），以上形式的证明资料提供任何一种即可；</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有依法缴纳税收的良好记录：提供响应文件递交截止时间前一年内至少一个月的纳税证明或完税证明（增值税、营业税、企业所得税至少提供一种），纳税证明或完税证明上应有代收机构或税务机关的公章或业务专用章。依法免税的单位应提供相关证明材料；</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社保资金缴纳证明</w:t>
            </w:r>
          </w:p>
        </w:tc>
        <w:tc>
          <w:tcPr>
            <w:tcW w:type="dxa" w:w="3322"/>
          </w:tcPr>
          <w:p>
            <w:pPr>
              <w:pStyle w:val="null3"/>
            </w:pPr>
            <w:r>
              <w:rPr>
                <w:rFonts w:ascii="仿宋_GB2312" w:hAnsi="仿宋_GB2312" w:cs="仿宋_GB2312" w:eastAsia="仿宋_GB2312"/>
              </w:rPr>
              <w:t>有依法缴纳社会保障资金的良好记录：提供响应文件递交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法定代表人直接参加磋商的，须出具法定代表人身份证明及身份证，法定代表人委托代理人参加磋商的，须出具法定代表人授权委托书及身份证；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供应商须具备工程勘察（岩土工程）专业乙级（含乙级）以上资质，同时具备工程设计水利行业乙级（含乙级）以上资质或水利行业（河道整治与城市防洪）专业乙级（含乙级）以上资质；</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项目负责人须具备以下①或②的资格要求：①勘察负责人要求：具备注册土木工程师(岩土)注册执业证书；②设计负责人要求：具备注册土木工程师(水利水电工程)资格证书或水利相关专业高级及以上技术职称。拟派项目负责人与勘察负责人或设计负责人可为同一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供应商信用信息</w:t>
            </w:r>
          </w:p>
        </w:tc>
        <w:tc>
          <w:tcPr>
            <w:tcW w:type="dxa" w:w="3322"/>
          </w:tcPr>
          <w:p>
            <w:pPr>
              <w:pStyle w:val="null3"/>
            </w:pPr>
            <w:r>
              <w:rPr>
                <w:rFonts w:ascii="仿宋_GB2312" w:hAnsi="仿宋_GB2312" w:cs="仿宋_GB2312" w:eastAsia="仿宋_GB2312"/>
              </w:rPr>
              <w:t>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信用记录在资格审查阶段通过互联网或者相关系统对供应商的信用情况进行甄别）；</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本项目不接受联合体磋商。单位负责人为同一人或者存在直接控股、管理关系的不同单位不得同时参加。</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至少以下三处的项目名称、项目编号、合同包（未分合同包的除外）与本项目完全一致：（1）响应文件封面；（2）投标（响应）函；（3）法定代表人（单位负责人）委托授权书\身份证明。</w:t>
            </w:r>
          </w:p>
        </w:tc>
        <w:tc>
          <w:tcPr>
            <w:tcW w:type="dxa" w:w="1661"/>
          </w:tcPr>
          <w:p>
            <w:pPr>
              <w:pStyle w:val="null3"/>
            </w:pPr>
            <w:r>
              <w:rPr>
                <w:rFonts w:ascii="仿宋_GB2312" w:hAnsi="仿宋_GB2312" w:cs="仿宋_GB2312" w:eastAsia="仿宋_GB2312"/>
              </w:rPr>
              <w:t>响应文件封面 商务要求偏离表 技术要求偏离表 中小企业声明函 残疾人福利性单位声明函 服务方案 标的清单 报价表 供应商承诺书 响应函 供应商资格证明文件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响应文件封面 商务要求偏离表 技术要求偏离表 中小企业声明函 残疾人福利性单位声明函 服务方案 标的清单 报价表 供应商承诺书 响应函 供应商资格证明文件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响应文件封面 商务要求偏离表 技术要求偏离表 中小企业声明函 残疾人福利性单位声明函 服务方案 标的清单 报价表 供应商承诺书 响应函 供应商资格证明文件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报价唯一，且没有高于采购预算或磋商文件规定的最高限价。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磋商有效期满足竞争性磋商文件的要求。</w:t>
            </w:r>
          </w:p>
        </w:tc>
        <w:tc>
          <w:tcPr>
            <w:tcW w:type="dxa" w:w="1661"/>
          </w:tcPr>
          <w:p>
            <w:pPr>
              <w:pStyle w:val="null3"/>
            </w:pPr>
            <w:r>
              <w:rPr>
                <w:rFonts w:ascii="仿宋_GB2312" w:hAnsi="仿宋_GB2312" w:cs="仿宋_GB2312" w:eastAsia="仿宋_GB2312"/>
              </w:rPr>
              <w:t>商务要求偏离表 技术要求偏离表 标的清单 报价表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完全理解并响应采购文件合同条款的要求，且未含有采购人不能接受的附加条件的。</w:t>
            </w:r>
          </w:p>
        </w:tc>
        <w:tc>
          <w:tcPr>
            <w:tcW w:type="dxa" w:w="1661"/>
          </w:tcPr>
          <w:p>
            <w:pPr>
              <w:pStyle w:val="null3"/>
            </w:pPr>
            <w:r>
              <w:rPr>
                <w:rFonts w:ascii="仿宋_GB2312" w:hAnsi="仿宋_GB2312" w:cs="仿宋_GB2312" w:eastAsia="仿宋_GB2312"/>
              </w:rPr>
              <w:t>商务要求偏离表 技术要求偏离表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服务期限、服务地点</w:t>
            </w:r>
          </w:p>
        </w:tc>
        <w:tc>
          <w:tcPr>
            <w:tcW w:type="dxa" w:w="3322"/>
          </w:tcPr>
          <w:p>
            <w:pPr>
              <w:pStyle w:val="null3"/>
            </w:pPr>
            <w:r>
              <w:rPr>
                <w:rFonts w:ascii="仿宋_GB2312" w:hAnsi="仿宋_GB2312" w:cs="仿宋_GB2312" w:eastAsia="仿宋_GB2312"/>
              </w:rPr>
              <w:t>满足竞争性磋商文件的要求。</w:t>
            </w:r>
          </w:p>
        </w:tc>
        <w:tc>
          <w:tcPr>
            <w:tcW w:type="dxa" w:w="1661"/>
          </w:tcPr>
          <w:p>
            <w:pPr>
              <w:pStyle w:val="null3"/>
            </w:pPr>
            <w:r>
              <w:rPr>
                <w:rFonts w:ascii="仿宋_GB2312" w:hAnsi="仿宋_GB2312" w:cs="仿宋_GB2312" w:eastAsia="仿宋_GB2312"/>
              </w:rPr>
              <w:t>商务要求偏离表 技术要求偏离表 标的清单</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符合法律、法规和竞争性磋商中规定的其他实质性要求</w:t>
            </w:r>
          </w:p>
        </w:tc>
        <w:tc>
          <w:tcPr>
            <w:tcW w:type="dxa" w:w="3322"/>
          </w:tcPr>
          <w:p>
            <w:pPr>
              <w:pStyle w:val="null3"/>
            </w:pPr>
            <w:r>
              <w:rPr>
                <w:rFonts w:ascii="仿宋_GB2312" w:hAnsi="仿宋_GB2312" w:cs="仿宋_GB2312" w:eastAsia="仿宋_GB2312"/>
              </w:rPr>
              <w:t>是否符合法律、法规和竞争性磋商文件中规定的其他实质性要求。</w:t>
            </w:r>
          </w:p>
        </w:tc>
        <w:tc>
          <w:tcPr>
            <w:tcW w:type="dxa" w:w="1661"/>
          </w:tcPr>
          <w:p>
            <w:pPr>
              <w:pStyle w:val="null3"/>
            </w:pPr>
            <w:r>
              <w:rPr>
                <w:rFonts w:ascii="仿宋_GB2312" w:hAnsi="仿宋_GB2312" w:cs="仿宋_GB2312" w:eastAsia="仿宋_GB2312"/>
              </w:rPr>
              <w:t>响应文件封面 商务要求偏离表 技术要求偏离表 中小企业声明函 残疾人福利性单位声明函 服务方案 标的清单 报价表 供应商承诺书 响应函 供应商资格证明文件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对本项目的理解与认识</w:t>
            </w:r>
          </w:p>
        </w:tc>
        <w:tc>
          <w:tcPr>
            <w:tcW w:type="dxa" w:w="2492"/>
          </w:tcPr>
          <w:p>
            <w:pPr>
              <w:pStyle w:val="null3"/>
            </w:pPr>
            <w:r>
              <w:rPr>
                <w:rFonts w:ascii="仿宋_GB2312" w:hAnsi="仿宋_GB2312" w:cs="仿宋_GB2312" w:eastAsia="仿宋_GB2312"/>
              </w:rPr>
              <w:t>供应商针对本项目的理解与认识，内容包含：①项目背景分析；②对任务区地理、气候及其他相关因素的认识与理解；③对主要技术依据文件、技术指标要求、成果规格要求的认识与理解。评审小组根据各供应商提供内容的完整性、可实施性及针对性等方面进行评审，每小项计1-3分，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针对本项目提出的服务方案，内容包含：①前期项目资料收集及前期准备；②勘察思路、勘察服务方案；③设计服务方案，④勘察设计文件编制思路及工作方案。评审小组根据各供应商提供内容的完整性、可实施性及针对性等方面进行评审，每小项计1-3分，未提供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项目重点、难点分析及应对措施</w:t>
            </w:r>
          </w:p>
        </w:tc>
        <w:tc>
          <w:tcPr>
            <w:tcW w:type="dxa" w:w="2492"/>
          </w:tcPr>
          <w:p>
            <w:pPr>
              <w:pStyle w:val="null3"/>
            </w:pPr>
            <w:r>
              <w:rPr>
                <w:rFonts w:ascii="仿宋_GB2312" w:hAnsi="仿宋_GB2312" w:cs="仿宋_GB2312" w:eastAsia="仿宋_GB2312"/>
              </w:rPr>
              <w:t>供应商对本项目项目重点、难点分析及应对措施，内容包含：①项目特点、关键技术问题的认识；②项目重点、难点分析；③重点、难点应对措施。评审小组根据各供应商提供内容的完整性、可实施性及针对性等方面进行评审，每小项计1-3分，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工作进度计划及保障措施</w:t>
            </w:r>
          </w:p>
        </w:tc>
        <w:tc>
          <w:tcPr>
            <w:tcW w:type="dxa" w:w="2492"/>
          </w:tcPr>
          <w:p>
            <w:pPr>
              <w:pStyle w:val="null3"/>
            </w:pPr>
            <w:r>
              <w:rPr>
                <w:rFonts w:ascii="仿宋_GB2312" w:hAnsi="仿宋_GB2312" w:cs="仿宋_GB2312" w:eastAsia="仿宋_GB2312"/>
              </w:rPr>
              <w:t>供应商针对本项目工作进度计划及保证措施，内容包含：①工作进度计划安排；②工作进度计划保障措施。③工作进度计划保障承诺。评审小组根据各供应商提供内容的完整性、可实施性及针对性等方面进行评审，每小项计1-3分，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针对本项目提出的质量保障措施，内容包含：①成果文件编制符合国家现行规范及行业标准，并提供保障措施；②质量控制、质量检查、质量管理制度；③质量管理体系与职责及项目实施过程配合措施。评审小组根据各供应商提供内容的完整性、可实施性及针对性等方面进行评审，每小项计1-3分，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供应商针对本项目提出的安全保障措施，内容包含：①项目可能涉及的安全风险评估；②安全管理制度；③安全保障措施。评审小组根据各供应商提供内容的完整性、可实施性及针对性等方面进行评审，每小项计1-3分，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服务承诺，内容包含：①服务质量承诺；②应急处理承诺；③后续服务（包括但不限于提供技术交底、施工配合、参加竣工验收及采购人委托的其他服务，响应时间等）承诺；评审小组根据各供应商提供内容的完整性、可实施性及针对性等方面进行评审，每小项计1-3分，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供应商针对本项目的理解程度，对项目的关键点、提出合理化建议；评审小组根据各供应商提供内容的完整性、可行性性及针对性等方面进行评审，计1-3分，未提供得0分。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拟派项目人员配备</w:t>
            </w:r>
          </w:p>
        </w:tc>
        <w:tc>
          <w:tcPr>
            <w:tcW w:type="dxa" w:w="2492"/>
          </w:tcPr>
          <w:p>
            <w:pPr>
              <w:pStyle w:val="null3"/>
            </w:pPr>
            <w:r>
              <w:rPr>
                <w:rFonts w:ascii="仿宋_GB2312" w:hAnsi="仿宋_GB2312" w:cs="仿宋_GB2312" w:eastAsia="仿宋_GB2312"/>
              </w:rPr>
              <w:t>供应商针对本项目人员配备，内容包含：①项目管理机构人员配备计划；②项目管理机构人员岗位职责；③团队人员配备情况（专业配备、专业分工、机构健全等）。评审小组根据各供应商提供内容的完整性、可实施性及针对性等方面进行评审，每小项计1-3分，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人员证书</w:t>
            </w:r>
          </w:p>
        </w:tc>
        <w:tc>
          <w:tcPr>
            <w:tcW w:type="dxa" w:w="2492"/>
          </w:tcPr>
          <w:p>
            <w:pPr>
              <w:pStyle w:val="null3"/>
            </w:pPr>
            <w:r>
              <w:rPr>
                <w:rFonts w:ascii="仿宋_GB2312" w:hAnsi="仿宋_GB2312" w:cs="仿宋_GB2312" w:eastAsia="仿宋_GB2312"/>
              </w:rPr>
              <w:t>拟派项目组成员具有相关专业中级及以上技术职称（项目负责人、勘察负责人及设计负责人除外），每提供1名人员得1分，此项满分6分，以供应商响应文件中所附的人员证书复印件或扫描件为准，未提供得0分。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供应商提供2022年1月1日（以中标通知书或合同时间为准）至今承接过类似项目业绩，每提供一项得2分，满分6分。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符合性审查合格的竞争性磋商响应文件，其磋商报价为有效磋商报价。2.满足磋商文件要求且最后报价最低的供应商的价格为磋商基准价，其价格得分为满分。其他供应商的价格得分统一按照下列公式计算：磋商报价得分=（磋商基准价/最后磋商报价）×价格权值（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详见附件：技术要求偏离表</w:t>
      </w:r>
    </w:p>
    <w:p>
      <w:pPr>
        <w:pStyle w:val="null3"/>
        <w:ind w:firstLine="960"/>
      </w:pPr>
      <w:r>
        <w:rPr>
          <w:rFonts w:ascii="仿宋_GB2312" w:hAnsi="仿宋_GB2312" w:cs="仿宋_GB2312" w:eastAsia="仿宋_GB2312"/>
        </w:rPr>
        <w:t>详见附件：商务要求偏离表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