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版本号：KHXM-ZB-252920251205001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2025年长安区市级粮食作物病虫害应急防控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KHXM-ZB-2529</w:t>
      </w:r>
      <w:r>
        <w:br/>
      </w:r>
      <w:r>
        <w:br/>
      </w:r>
      <w:r>
        <w:br/>
      </w:r>
    </w:p>
    <w:p>
      <w:pPr>
        <w:pStyle w:val="null3"/>
        <w:jc w:val="center"/>
        <w:outlineLvl w:val="2"/>
      </w:pPr>
      <w:r>
        <w:rPr>
          <w:rFonts w:ascii="仿宋_GB2312" w:hAnsi="仿宋_GB2312" w:cs="仿宋_GB2312" w:eastAsia="仿宋_GB2312"/>
          <w:sz w:val="28"/>
          <w:b/>
        </w:rPr>
        <w:t>西安市长安区农业技术推广中心</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西安市长安区农业技术推广中心</w:t>
      </w:r>
      <w:r>
        <w:rPr>
          <w:rFonts w:ascii="仿宋_GB2312" w:hAnsi="仿宋_GB2312" w:cs="仿宋_GB2312" w:eastAsia="仿宋_GB2312"/>
        </w:rPr>
        <w:t>委托，拟对</w:t>
      </w:r>
      <w:r>
        <w:rPr>
          <w:rFonts w:ascii="仿宋_GB2312" w:hAnsi="仿宋_GB2312" w:cs="仿宋_GB2312" w:eastAsia="仿宋_GB2312"/>
        </w:rPr>
        <w:t>2025年长安区市级粮食作物病虫害应急防控</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KHXM-ZB-2529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2025年长安区市级粮食作物病虫害应急防控</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2025年长安区市级粮食作物病虫害应急防控，具体详见磋商项目技术、服务、商务及其他要求。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采购包1（2025年长安区市级粮食作物病虫害应急防控）：属于专门面向中小企业采购。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报告：提供2024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pPr>
        <w:pStyle w:val="null3"/>
      </w:pPr>
      <w:r>
        <w:rPr>
          <w:rFonts w:ascii="仿宋_GB2312" w:hAnsi="仿宋_GB2312" w:cs="仿宋_GB2312" w:eastAsia="仿宋_GB2312"/>
        </w:rPr>
        <w:t>3、提供具有履行合同所必需的设备和专业技术能力的承诺：提供具有履行合同所必需的设备和专业技术能力的承诺</w:t>
      </w:r>
    </w:p>
    <w:p>
      <w:pPr>
        <w:pStyle w:val="null3"/>
      </w:pPr>
      <w:r>
        <w:rPr>
          <w:rFonts w:ascii="仿宋_GB2312" w:hAnsi="仿宋_GB2312" w:cs="仿宋_GB2312" w:eastAsia="仿宋_GB2312"/>
        </w:rPr>
        <w:t>4、税收缴纳证明：提供投标文件递交截止日前一年内已缴纳的至少一个月的纳税证明或完税证明，依法免税的单位应提供相关证明材料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5、社会保障资金缴纳证明：提供投标文件递交截止日前一年内已缴存的至少一个月的社会保障资金缴存单据或社保机构开具的 社会保险参保缴费情况证明，依法不需要缴纳社会保障资金的单位应提供相关证明材料</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授权书或法定代表人身份证明：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西安市长安区南长安街201A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13572429842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王同鑫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价为基数，参照国家计委关于印发《招标代理服务收费管理暂行办法》（计价格[2002]1980号）的通知和国家发展改革委员会办公厅颁发的《关于招标代理服务收费有关问题的通知》（发改办价格[2003]857号）的有关规定计取。不足5000元按5000元计取。 户名：西安昆衡项目管理有限公司 开户行：中国银行西安长安区樊川路支行 账号：103290501162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西安市长安区农业技术推广中心</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联系人：王同鑫</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农业农村局关于印发2025年第一批市级农业农村发展专项资金项目实施方案的通知》（市农发〔2025〕87号）文件精神，在早春时节完成1.8万亩条锈病防治工作，达到“打点保面，压低菌源”目的，最大限度地降低条锈病危害损失，保证我区夏粮生产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小麦病虫害防治作业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标的名称：小麦病虫害防治作业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8"/>
              </w:rPr>
              <w:t>根据《西安市农业农村局关于印发</w:t>
            </w:r>
            <w:r>
              <w:rPr>
                <w:rFonts w:ascii="仿宋_GB2312" w:hAnsi="仿宋_GB2312" w:cs="仿宋_GB2312" w:eastAsia="仿宋_GB2312"/>
                <w:sz w:val="28"/>
              </w:rPr>
              <w:t>2025年第一批市级农业农村发展专项资金项目实施方案的通知》（市农发〔2025〕87号）文件精神，在早春时节完成1.8万亩条锈病防治工作，达到“打点保面，压低菌源”目的，最大限度地降低条锈病危害损失，保证我区夏粮生产安全。</w:t>
            </w:r>
          </w:p>
          <w:p>
            <w:pPr>
              <w:pStyle w:val="null3"/>
              <w:ind w:left="420"/>
              <w:jc w:val="both"/>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在</w:t>
            </w:r>
            <w:r>
              <w:rPr>
                <w:rFonts w:ascii="仿宋_GB2312" w:hAnsi="仿宋_GB2312" w:cs="仿宋_GB2312" w:eastAsia="仿宋_GB2312"/>
                <w:sz w:val="28"/>
              </w:rPr>
              <w:t>甲方指定区域</w:t>
            </w:r>
            <w:r>
              <w:rPr>
                <w:rFonts w:ascii="仿宋_GB2312" w:hAnsi="仿宋_GB2312" w:cs="仿宋_GB2312" w:eastAsia="仿宋_GB2312"/>
                <w:sz w:val="28"/>
              </w:rPr>
              <w:t>，完成</w:t>
            </w:r>
            <w:r>
              <w:rPr>
                <w:rFonts w:ascii="仿宋_GB2312" w:hAnsi="仿宋_GB2312" w:cs="仿宋_GB2312" w:eastAsia="仿宋_GB2312"/>
                <w:sz w:val="28"/>
              </w:rPr>
              <w:t>1.8万亩小麦条锈病防治任务。</w:t>
            </w:r>
          </w:p>
          <w:p>
            <w:pPr>
              <w:pStyle w:val="null3"/>
              <w:ind w:left="420"/>
              <w:jc w:val="both"/>
            </w:pPr>
            <w:r>
              <w:rPr>
                <w:rFonts w:ascii="仿宋_GB2312" w:hAnsi="仿宋_GB2312" w:cs="仿宋_GB2312" w:eastAsia="仿宋_GB2312"/>
                <w:sz w:val="28"/>
                <w:b/>
              </w:rPr>
              <w:t>三、技术要求</w:t>
            </w:r>
          </w:p>
          <w:p>
            <w:pPr>
              <w:pStyle w:val="null3"/>
              <w:ind w:firstLine="560"/>
              <w:jc w:val="both"/>
            </w:pPr>
            <w:r>
              <w:rPr>
                <w:rFonts w:ascii="仿宋_GB2312" w:hAnsi="仿宋_GB2312" w:cs="仿宋_GB2312" w:eastAsia="仿宋_GB2312"/>
                <w:sz w:val="28"/>
              </w:rPr>
              <w:t>1.防治药剂选</w:t>
            </w:r>
            <w:r>
              <w:rPr>
                <w:rFonts w:ascii="仿宋_GB2312" w:hAnsi="仿宋_GB2312" w:cs="仿宋_GB2312" w:eastAsia="仿宋_GB2312"/>
                <w:sz w:val="30"/>
              </w:rPr>
              <w:t>用25%吡唑醚菌酯25克/亩</w:t>
            </w:r>
            <w:r>
              <w:rPr>
                <w:rFonts w:ascii="仿宋_GB2312" w:hAnsi="仿宋_GB2312" w:cs="仿宋_GB2312" w:eastAsia="仿宋_GB2312"/>
                <w:sz w:val="30"/>
              </w:rPr>
              <w:t>+5%</w:t>
            </w:r>
            <w:r>
              <w:rPr>
                <w:rFonts w:ascii="仿宋_GB2312" w:hAnsi="仿宋_GB2312" w:cs="仿宋_GB2312" w:eastAsia="仿宋_GB2312"/>
                <w:sz w:val="28"/>
              </w:rPr>
              <w:t>高效氯氟氰菊酯25克/亩。</w:t>
            </w:r>
          </w:p>
          <w:p>
            <w:pPr>
              <w:pStyle w:val="null3"/>
              <w:ind w:firstLine="560"/>
              <w:jc w:val="both"/>
            </w:pPr>
            <w:r>
              <w:rPr>
                <w:rFonts w:ascii="仿宋_GB2312" w:hAnsi="仿宋_GB2312" w:cs="仿宋_GB2312" w:eastAsia="仿宋_GB2312"/>
                <w:sz w:val="28"/>
              </w:rPr>
              <w:t>2.防治器械以大型自走式高杆喷雾器为主，配合植保无人机，保证防治全面到位。</w:t>
            </w:r>
          </w:p>
          <w:p>
            <w:pPr>
              <w:pStyle w:val="null3"/>
              <w:ind w:firstLine="560"/>
              <w:jc w:val="both"/>
            </w:pPr>
            <w:r>
              <w:rPr>
                <w:rFonts w:ascii="仿宋_GB2312" w:hAnsi="仿宋_GB2312" w:cs="仿宋_GB2312" w:eastAsia="仿宋_GB2312"/>
                <w:sz w:val="28"/>
              </w:rPr>
              <w:t>3.采用高杆自走式喷雾机作业时，亩喷液量不少于15公斤。采用无人机作业时，亩喷液量不少于2公斤，同时需添加沉降剂。</w:t>
            </w:r>
          </w:p>
          <w:p>
            <w:pPr>
              <w:pStyle w:val="null3"/>
              <w:ind w:firstLine="560"/>
              <w:jc w:val="both"/>
            </w:pPr>
            <w:r>
              <w:rPr>
                <w:rFonts w:ascii="仿宋_GB2312" w:hAnsi="仿宋_GB2312" w:cs="仿宋_GB2312" w:eastAsia="仿宋_GB2312"/>
                <w:sz w:val="28"/>
              </w:rPr>
              <w:t>4.防效应达到85%以上。</w:t>
            </w:r>
          </w:p>
          <w:p>
            <w:pPr>
              <w:pStyle w:val="null3"/>
              <w:ind w:left="420"/>
              <w:jc w:val="both"/>
            </w:pPr>
            <w:r>
              <w:rPr>
                <w:rFonts w:ascii="仿宋_GB2312" w:hAnsi="仿宋_GB2312" w:cs="仿宋_GB2312" w:eastAsia="仿宋_GB2312"/>
                <w:sz w:val="28"/>
                <w:b/>
              </w:rPr>
              <w:t>四、服务要求</w:t>
            </w:r>
          </w:p>
          <w:p>
            <w:pPr>
              <w:pStyle w:val="null3"/>
              <w:ind w:firstLine="560"/>
              <w:jc w:val="both"/>
            </w:pPr>
            <w:r>
              <w:rPr>
                <w:rFonts w:ascii="仿宋_GB2312" w:hAnsi="仿宋_GB2312" w:cs="仿宋_GB2312" w:eastAsia="仿宋_GB2312"/>
                <w:sz w:val="28"/>
              </w:rPr>
              <w:t>1.中标方拥有</w:t>
            </w:r>
            <w:r>
              <w:rPr>
                <w:rFonts w:ascii="仿宋_GB2312" w:hAnsi="仿宋_GB2312" w:cs="仿宋_GB2312" w:eastAsia="仿宋_GB2312"/>
                <w:sz w:val="28"/>
              </w:rPr>
              <w:t>4台高杆自走式喷雾机， 5台植保无人机，专业防治人员10人以上；</w:t>
            </w:r>
          </w:p>
          <w:p>
            <w:pPr>
              <w:pStyle w:val="null3"/>
              <w:ind w:firstLine="560"/>
              <w:jc w:val="both"/>
            </w:pPr>
            <w:r>
              <w:rPr>
                <w:rFonts w:ascii="仿宋_GB2312" w:hAnsi="仿宋_GB2312" w:cs="仿宋_GB2312" w:eastAsia="仿宋_GB2312"/>
                <w:sz w:val="28"/>
              </w:rPr>
              <w:t>2、中标方必须按照防治规范操作，如违反防治规范，责任由中标方承担。</w:t>
            </w:r>
          </w:p>
          <w:p>
            <w:pPr>
              <w:pStyle w:val="null3"/>
              <w:ind w:firstLine="560"/>
              <w:jc w:val="both"/>
            </w:pPr>
            <w:r>
              <w:rPr>
                <w:rFonts w:ascii="仿宋_GB2312" w:hAnsi="仿宋_GB2312" w:cs="仿宋_GB2312" w:eastAsia="仿宋_GB2312"/>
                <w:sz w:val="28"/>
              </w:rPr>
              <w:t>3.中标方务必于202</w:t>
            </w:r>
            <w:r>
              <w:rPr>
                <w:rFonts w:ascii="仿宋_GB2312" w:hAnsi="仿宋_GB2312" w:cs="仿宋_GB2312" w:eastAsia="仿宋_GB2312"/>
                <w:sz w:val="28"/>
              </w:rPr>
              <w:t>6</w:t>
            </w:r>
            <w:r>
              <w:rPr>
                <w:rFonts w:ascii="仿宋_GB2312" w:hAnsi="仿宋_GB2312" w:cs="仿宋_GB2312" w:eastAsia="仿宋_GB2312"/>
                <w:sz w:val="28"/>
              </w:rPr>
              <w:t>年</w:t>
            </w:r>
            <w:r>
              <w:rPr>
                <w:rFonts w:ascii="仿宋_GB2312" w:hAnsi="仿宋_GB2312" w:cs="仿宋_GB2312" w:eastAsia="仿宋_GB2312"/>
                <w:sz w:val="28"/>
              </w:rPr>
              <w:t>4月5日前完成防治任务。</w:t>
            </w:r>
          </w:p>
          <w:p>
            <w:pPr>
              <w:pStyle w:val="null3"/>
              <w:ind w:firstLine="560"/>
              <w:jc w:val="both"/>
            </w:pPr>
            <w:r>
              <w:rPr>
                <w:rFonts w:ascii="仿宋_GB2312" w:hAnsi="仿宋_GB2312" w:cs="仿宋_GB2312" w:eastAsia="仿宋_GB2312"/>
                <w:sz w:val="28"/>
              </w:rPr>
              <w:t>4.中标方</w:t>
            </w:r>
            <w:r>
              <w:rPr>
                <w:rFonts w:ascii="仿宋_GB2312" w:hAnsi="仿宋_GB2312" w:cs="仿宋_GB2312" w:eastAsia="仿宋_GB2312"/>
                <w:sz w:val="28"/>
              </w:rPr>
              <w:t>按照甲方要求</w:t>
            </w:r>
            <w:r>
              <w:rPr>
                <w:rFonts w:ascii="仿宋_GB2312" w:hAnsi="仿宋_GB2312" w:cs="仿宋_GB2312" w:eastAsia="仿宋_GB2312"/>
                <w:sz w:val="28"/>
              </w:rPr>
              <w:t>及时收集防治资料，已备项目验收之需。</w:t>
            </w:r>
          </w:p>
          <w:p>
            <w:pPr>
              <w:pStyle w:val="null3"/>
              <w:ind w:left="420"/>
              <w:jc w:val="both"/>
            </w:pPr>
            <w:r>
              <w:rPr>
                <w:rFonts w:ascii="仿宋_GB2312" w:hAnsi="仿宋_GB2312" w:cs="仿宋_GB2312" w:eastAsia="仿宋_GB2312"/>
                <w:sz w:val="28"/>
                <w:b/>
              </w:rPr>
              <w:t>五、商务要求</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合同</w:t>
            </w:r>
            <w:r>
              <w:rPr>
                <w:rFonts w:ascii="仿宋_GB2312" w:hAnsi="仿宋_GB2312" w:cs="仿宋_GB2312" w:eastAsia="仿宋_GB2312"/>
                <w:sz w:val="28"/>
              </w:rPr>
              <w:t>签订之日起至</w:t>
            </w:r>
            <w:r>
              <w:rPr>
                <w:rFonts w:ascii="仿宋_GB2312" w:hAnsi="仿宋_GB2312" w:cs="仿宋_GB2312" w:eastAsia="仿宋_GB2312"/>
                <w:sz w:val="28"/>
              </w:rPr>
              <w:t>2026年5月31日。</w:t>
            </w:r>
          </w:p>
          <w:p>
            <w:pPr>
              <w:pStyle w:val="null3"/>
              <w:ind w:firstLine="560"/>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rPr>
              <w:t>项目完成验收后，</w:t>
            </w:r>
            <w:r>
              <w:rPr>
                <w:rFonts w:ascii="仿宋_GB2312" w:hAnsi="仿宋_GB2312" w:cs="仿宋_GB2312" w:eastAsia="仿宋_GB2312"/>
                <w:sz w:val="28"/>
              </w:rPr>
              <w:t>按照财政资金拨付情况及时支付中标方防治费用</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六、其他</w:t>
            </w:r>
          </w:p>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进度要求</w:t>
            </w:r>
          </w:p>
          <w:p>
            <w:pPr>
              <w:pStyle w:val="null3"/>
              <w:jc w:val="both"/>
            </w:pPr>
            <w:r>
              <w:rPr>
                <w:rFonts w:ascii="仿宋_GB2312" w:hAnsi="仿宋_GB2312" w:cs="仿宋_GB2312" w:eastAsia="仿宋_GB2312"/>
                <w:sz w:val="28"/>
              </w:rPr>
              <w:t>1、202</w:t>
            </w:r>
            <w:r>
              <w:rPr>
                <w:rFonts w:ascii="仿宋_GB2312" w:hAnsi="仿宋_GB2312" w:cs="仿宋_GB2312" w:eastAsia="仿宋_GB2312"/>
                <w:sz w:val="28"/>
              </w:rPr>
              <w:t>6</w:t>
            </w:r>
            <w:r>
              <w:rPr>
                <w:rFonts w:ascii="仿宋_GB2312" w:hAnsi="仿宋_GB2312" w:cs="仿宋_GB2312" w:eastAsia="仿宋_GB2312"/>
                <w:sz w:val="28"/>
              </w:rPr>
              <w:t>年</w:t>
            </w:r>
            <w:r>
              <w:rPr>
                <w:rFonts w:ascii="仿宋_GB2312" w:hAnsi="仿宋_GB2312" w:cs="仿宋_GB2312" w:eastAsia="仿宋_GB2312"/>
                <w:sz w:val="28"/>
              </w:rPr>
              <w:t>3月1日前完成防治药剂采购、器械检修、人员培训等准备工作。</w:t>
            </w:r>
          </w:p>
          <w:p>
            <w:pPr>
              <w:pStyle w:val="null3"/>
              <w:jc w:val="both"/>
            </w:pPr>
            <w:r>
              <w:rPr>
                <w:rFonts w:ascii="仿宋_GB2312" w:hAnsi="仿宋_GB2312" w:cs="仿宋_GB2312" w:eastAsia="仿宋_GB2312"/>
                <w:sz w:val="28"/>
              </w:rPr>
              <w:t>2、202</w:t>
            </w:r>
            <w:r>
              <w:rPr>
                <w:rFonts w:ascii="仿宋_GB2312" w:hAnsi="仿宋_GB2312" w:cs="仿宋_GB2312" w:eastAsia="仿宋_GB2312"/>
                <w:sz w:val="28"/>
              </w:rPr>
              <w:t>6</w:t>
            </w:r>
            <w:r>
              <w:rPr>
                <w:rFonts w:ascii="仿宋_GB2312" w:hAnsi="仿宋_GB2312" w:cs="仿宋_GB2312" w:eastAsia="仿宋_GB2312"/>
                <w:sz w:val="28"/>
              </w:rPr>
              <w:t>年</w:t>
            </w:r>
            <w:r>
              <w:rPr>
                <w:rFonts w:ascii="仿宋_GB2312" w:hAnsi="仿宋_GB2312" w:cs="仿宋_GB2312" w:eastAsia="仿宋_GB2312"/>
                <w:sz w:val="28"/>
              </w:rPr>
              <w:t>4月5日完成指定区域防治任务。</w:t>
            </w:r>
          </w:p>
          <w:p>
            <w:pPr>
              <w:pStyle w:val="null3"/>
              <w:jc w:val="both"/>
            </w:pPr>
            <w:r>
              <w:rPr>
                <w:rFonts w:ascii="仿宋_GB2312" w:hAnsi="仿宋_GB2312" w:cs="仿宋_GB2312" w:eastAsia="仿宋_GB2312"/>
                <w:sz w:val="28"/>
              </w:rPr>
              <w:t>（二）质量验收标准或规范</w:t>
            </w:r>
          </w:p>
          <w:p>
            <w:pPr>
              <w:pStyle w:val="null3"/>
              <w:jc w:val="both"/>
            </w:pPr>
            <w:r>
              <w:rPr>
                <w:rFonts w:ascii="仿宋_GB2312" w:hAnsi="仿宋_GB2312" w:cs="仿宋_GB2312" w:eastAsia="仿宋_GB2312"/>
                <w:sz w:val="28"/>
              </w:rPr>
              <w:t>1、防治组织采用植保部门防治要求的药剂，所有药剂必须符合国家的“三证”要求；</w:t>
            </w:r>
          </w:p>
          <w:p>
            <w:pPr>
              <w:pStyle w:val="null3"/>
              <w:jc w:val="both"/>
            </w:pPr>
            <w:r>
              <w:rPr>
                <w:rFonts w:ascii="仿宋_GB2312" w:hAnsi="仿宋_GB2312" w:cs="仿宋_GB2312" w:eastAsia="仿宋_GB2312"/>
                <w:sz w:val="28"/>
              </w:rPr>
              <w:t>2、最终防治效果保证85%以上；</w:t>
            </w:r>
          </w:p>
          <w:p>
            <w:pPr>
              <w:pStyle w:val="null3"/>
              <w:jc w:val="both"/>
            </w:pPr>
            <w:r>
              <w:rPr>
                <w:rFonts w:ascii="仿宋_GB2312" w:hAnsi="仿宋_GB2312" w:cs="仿宋_GB2312" w:eastAsia="仿宋_GB2312"/>
                <w:sz w:val="28"/>
              </w:rPr>
              <w:t>（三</w:t>
            </w:r>
            <w:r>
              <w:rPr>
                <w:rFonts w:ascii="仿宋_GB2312" w:hAnsi="仿宋_GB2312" w:cs="仿宋_GB2312" w:eastAsia="仿宋_GB2312"/>
                <w:sz w:val="28"/>
              </w:rPr>
              <w:t>）违约责任</w:t>
            </w:r>
          </w:p>
          <w:p>
            <w:pPr>
              <w:pStyle w:val="null3"/>
              <w:jc w:val="both"/>
            </w:pPr>
            <w:r>
              <w:rPr>
                <w:rFonts w:ascii="仿宋_GB2312" w:hAnsi="仿宋_GB2312" w:cs="仿宋_GB2312" w:eastAsia="仿宋_GB2312"/>
                <w:sz w:val="28"/>
              </w:rPr>
              <w:t>1、如中标方防治效果不佳，防治组织免费重新防治；</w:t>
            </w:r>
          </w:p>
          <w:p>
            <w:pPr>
              <w:pStyle w:val="null3"/>
              <w:jc w:val="both"/>
            </w:pPr>
            <w:r>
              <w:rPr>
                <w:rFonts w:ascii="仿宋_GB2312" w:hAnsi="仿宋_GB2312" w:cs="仿宋_GB2312" w:eastAsia="仿宋_GB2312"/>
                <w:sz w:val="28"/>
              </w:rPr>
              <w:t>2、如中标方防治不力或延误，产生的经济损失由中标方承担。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合同签订之日起至2026年5月31日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1、防治组织采用植保部门防治要求的药剂，所有药剂必须符合国家的“三证”要求； 2、最终防治效果保证85%以上；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项目完成验收后，按照财政资金拨付情况及时支付中标方防治费用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①如中标方防治效果不佳，防治组织免费重新防治； ②如中标方防治不力或遗误，产生的经济损失由中标方承担。 ③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 进行经济索赔，并报请政府采购监督管理机关进行相应的行政处罚。采购单位违约的，应当赔偿给中标供应商造成的经济损失。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中标单位中标后需将纸质投标文件 ( 一正二副) 送至采购代理机构处。纸质版须与电子版保持一致。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提供具有履行合同所必需的设备和专业技术能力的承诺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 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项目认识与理解</w:t>
            </w:r>
          </w:p>
        </w:tc>
        <w:tc>
          <w:tcPr>
            <w:tcW w:type="dxa" w:w="2492"/>
          </w:tcPr>
          <w:p>
            <w:pPr>
              <w:pStyle w:val="null3"/>
            </w:pPr>
            <w:r>
              <w:rPr>
                <w:rFonts w:ascii="仿宋_GB2312" w:hAnsi="仿宋_GB2312" w:cs="仿宋_GB2312" w:eastAsia="仿宋_GB2312"/>
              </w:rPr>
              <w:t>针对本项目，供应商对采购内容及需求目的有充分的认识与理解（包括：①对本项目现状的认识与理解②服务思路③建设目标④重点难点分析）。针对以上4项内容进行综合评审满足1项且内容详细计3分，最高12分；每缺少一项扣3分，存在瑕疵的一项扣0-3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1.方案针对性强、思路清晰、可操作性强得12分。 2.方案有较强针对性及可操作性得9分。 3.有一定可做操作性但针对性不强得6分。 4.方案笼统、可行性不强得3分。 5.方案漏洞较多的得1分。 6.不提供不得分。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详细的质量保证措施，措施内容包含①质量控制制度②质量控制标准③质量控制程序。保证措施内容全面详细、阐述条理清晰详尽、符合本项目采购需求得9分；以上分项每缺少一项内容扣3分；有某一项不完整或不符合实际要求或不满足实施要求或套用其他项目内容的每项得0-3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供具有针对性的进度保障方案，方案内容包含①工作时间进度表②工作程序和步骤③关键步骤的思路和要点。内容全面详细、阐述条理清晰详尽、符合本项目采购需求得6分。以上分项每缺少一项内容扣2分；有某一项不完整或不符合实际要求或不满足实施要求或套用其他项目内容的每项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防治药剂</w:t>
            </w:r>
          </w:p>
        </w:tc>
        <w:tc>
          <w:tcPr>
            <w:tcW w:type="dxa" w:w="2492"/>
          </w:tcPr>
          <w:p>
            <w:pPr>
              <w:pStyle w:val="null3"/>
            </w:pPr>
            <w:r>
              <w:rPr>
                <w:rFonts w:ascii="仿宋_GB2312" w:hAnsi="仿宋_GB2312" w:cs="仿宋_GB2312" w:eastAsia="仿宋_GB2312"/>
              </w:rPr>
              <w:t>防治药剂：①、25%吡唑醚菌酯；②、5%高效氯氟氰菊酯。每提供一项上述药剂的质量合格证明资料及产品来源正规证明资料计2分，满分4分。 证明资料如：产品合格证、质量检测报告、进货单、供货合同等均可。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防治人员</w:t>
            </w:r>
          </w:p>
        </w:tc>
        <w:tc>
          <w:tcPr>
            <w:tcW w:type="dxa" w:w="2492"/>
          </w:tcPr>
          <w:p>
            <w:pPr>
              <w:pStyle w:val="null3"/>
            </w:pPr>
            <w:r>
              <w:rPr>
                <w:rFonts w:ascii="仿宋_GB2312" w:hAnsi="仿宋_GB2312" w:cs="仿宋_GB2312" w:eastAsia="仿宋_GB2312"/>
              </w:rPr>
              <w:t>供应商配备10名专业防治人员，得4分，在此基础上每增加一名专业防治人员加1分，本项最高得5分；证明材料：提供专业防治人员身份证复印件，全部专业防治人员均需提供证明材料。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应急措施保障</w:t>
            </w:r>
          </w:p>
        </w:tc>
        <w:tc>
          <w:tcPr>
            <w:tcW w:type="dxa" w:w="2492"/>
          </w:tcPr>
          <w:p>
            <w:pPr>
              <w:pStyle w:val="null3"/>
            </w:pPr>
            <w:r>
              <w:rPr>
                <w:rFonts w:ascii="仿宋_GB2312" w:hAnsi="仿宋_GB2312" w:cs="仿宋_GB2312" w:eastAsia="仿宋_GB2312"/>
              </w:rPr>
              <w:t>针对本项目提供应急措施保障，措施保障内容包含：①应急预案②应急处理响应时间③应急人数及人员安排④保障措施。措施各部分内容全面详细、阐述条理清晰详尽、符合本项目采购需求得12分，以上分项每缺少一项内容扣3分，有某一项不完整或不符合实际要求或不满足实施要求或套用其他项目内容的扣0-3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2022年1月1日至今（以合同签订时间为准），供应商具有类似防治服务业绩的，每提供一份计2分，满分10分。备注：响应文件中提供合同复印件加盖公章。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防治机械</w:t>
            </w:r>
          </w:p>
        </w:tc>
        <w:tc>
          <w:tcPr>
            <w:tcW w:type="dxa" w:w="2492"/>
          </w:tcPr>
          <w:p>
            <w:pPr>
              <w:pStyle w:val="null3"/>
            </w:pPr>
            <w:r>
              <w:rPr>
                <w:rFonts w:ascii="仿宋_GB2312" w:hAnsi="仿宋_GB2312" w:cs="仿宋_GB2312" w:eastAsia="仿宋_GB2312"/>
              </w:rPr>
              <w:t>①供应商具备5架植保无人机，得0分，在此基础上每增加一架植保无人机加2分，本项最高得4分； 证明材料：提供植保无人机购买发票或租赁合同（协议）或其他可证明本单位具有满足项目要求机械的证明材料，全部植保无人机均需提供证明材料。 ②供应商具备4台高杆自走式喷雾机，得0分，在此基础上每增加一台高杆自走式喷雾机加2分，本项最高得6分； 证明材料：提供高杆自走式喷雾机购买发票或租赁合同（协议）或其他可证明本单位具有满足项目要求机械的证明材料，全部高杆自走式喷雾机均需提供证明材料。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2、满足磋商文件实质性要求且最终报价最低的供应商的价格为磋商基准价，其价格分为满分20分。 3、磋商报价得分=（磋商基准价/最终磋商报价）×20。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详见附件：2025年长安区市级粮食作物病虫害应急防控-项目合同(1).docx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