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版本号：ZC2025-GC-22520251205001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常宁村农村供水保障项目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ZC2025-GC-225</w:t>
      </w:r>
      <w:r>
        <w:br/>
      </w:r>
      <w:r>
        <w:br/>
      </w:r>
      <w:r>
        <w:br/>
      </w:r>
    </w:p>
    <w:p>
      <w:pPr>
        <w:pStyle w:val="null3"/>
        <w:jc w:val="center"/>
        <w:outlineLvl w:val="2"/>
      </w:pPr>
      <w:r>
        <w:rPr>
          <w:rFonts w:ascii="仿宋_GB2312" w:hAnsi="仿宋_GB2312" w:cs="仿宋_GB2312" w:eastAsia="仿宋_GB2312"/>
          <w:sz w:val="28"/>
          <w:b/>
        </w:rPr>
        <w:t>西安市长安区王曲街道办事处</w:t>
      </w:r>
    </w:p>
    <w:p>
      <w:pPr>
        <w:pStyle w:val="null3"/>
        <w:jc w:val="center"/>
        <w:outlineLvl w:val="2"/>
      </w:pPr>
      <w:r>
        <w:rPr>
          <w:rFonts w:ascii="仿宋_GB2312" w:hAnsi="仿宋_GB2312" w:cs="仿宋_GB2312" w:eastAsia="仿宋_GB2312"/>
          <w:sz w:val="28"/>
          <w:b/>
        </w:rPr>
        <w:t>陕西中采项目管理有限公司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陕西中采项目管理有限公司</w:t>
      </w:r>
      <w:r>
        <w:rPr>
          <w:rFonts w:ascii="仿宋_GB2312" w:hAnsi="仿宋_GB2312" w:cs="仿宋_GB2312" w:eastAsia="仿宋_GB2312"/>
        </w:rPr>
        <w:t>（以下简称“代理机构”）受</w:t>
      </w:r>
      <w:r>
        <w:rPr>
          <w:rFonts w:ascii="仿宋_GB2312" w:hAnsi="仿宋_GB2312" w:cs="仿宋_GB2312" w:eastAsia="仿宋_GB2312"/>
        </w:rPr>
        <w:t>西安市长安区王曲街道办事处</w:t>
      </w:r>
      <w:r>
        <w:rPr>
          <w:rFonts w:ascii="仿宋_GB2312" w:hAnsi="仿宋_GB2312" w:cs="仿宋_GB2312" w:eastAsia="仿宋_GB2312"/>
        </w:rPr>
        <w:t>委托，拟对</w:t>
      </w:r>
      <w:r>
        <w:rPr>
          <w:rFonts w:ascii="仿宋_GB2312" w:hAnsi="仿宋_GB2312" w:cs="仿宋_GB2312" w:eastAsia="仿宋_GB2312"/>
        </w:rPr>
        <w:t>常宁村农村供水保障项目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ZC2025-GC-225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常宁村农村供水保障项目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常宁村农村供水保障项目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采购包1（常宁村农村供水保障项目）：属于专门面向中小企业采购。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或其他证明资料：供应商应为具有独立承担民事责任的能力且具备向采购人提供相关服务的企业法人、事业法人、其他组织或自然人，企业法人应提供具有统一社会信用代码的营业执照等证明文件；事业法人应提供事业单位法人证等证明文件；其他组织应提供合法证明文件；自然人提供身份证明文件;</w:t>
      </w:r>
    </w:p>
    <w:p>
      <w:pPr>
        <w:pStyle w:val="null3"/>
      </w:pPr>
      <w:r>
        <w:rPr>
          <w:rFonts w:ascii="仿宋_GB2312" w:hAnsi="仿宋_GB2312" w:cs="仿宋_GB2312" w:eastAsia="仿宋_GB2312"/>
        </w:rPr>
        <w:t>2、企业资质：供应商须具备建设行政主管部门颁发的水利水电工程施工总承包三级及以上资质，并具有有效的安全生产许可证；</w:t>
      </w:r>
    </w:p>
    <w:p>
      <w:pPr>
        <w:pStyle w:val="null3"/>
      </w:pPr>
      <w:r>
        <w:rPr>
          <w:rFonts w:ascii="仿宋_GB2312" w:hAnsi="仿宋_GB2312" w:cs="仿宋_GB2312" w:eastAsia="仿宋_GB2312"/>
        </w:rPr>
        <w:t>3、拟派项目负责人资质：拟派项目经理须具备有效的水利水电工程专业二级及以上注册建造师执业资格，具备水利行政主管部门颁发的安全生产考核合格证（水安B证），且在本单位注册，无在建工程(提供无在建项目承诺书)；</w:t>
      </w:r>
    </w:p>
    <w:p>
      <w:pPr>
        <w:pStyle w:val="null3"/>
      </w:pPr>
      <w:r>
        <w:rPr>
          <w:rFonts w:ascii="仿宋_GB2312" w:hAnsi="仿宋_GB2312" w:cs="仿宋_GB2312" w:eastAsia="仿宋_GB2312"/>
        </w:rPr>
        <w:t>4、供应商信誉要求：供应商不得为“信用中国”网站（www.creditchina.gov.cn）中列入重大税收违法失信主体的供应商；不得为“中国执行信息公开网”（http://zxgk.court.gov.cn）中列入失信被执行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5、非联合体磋商：本项目不接受联合体磋商（提供非联合体声明函）。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西安市长安区王曲街道办事处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西安市长安区王曲街道北堡寨村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西安市长安区王曲街道办事处经办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13571852220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陕西中采项目管理有限公司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西安市雁塔区高新三路新时代大厦西四楼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721000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符宇寒、刘静静、毛鑫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029-88856058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政府采购中心</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采购包1：1,818,000.00元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代理服务费收费标准：采购代理服务费参照国家发展和改革委员会《招标代理服务收费管理暂行办法》(计价格(2002)1980号)文件规定计取，由成交供应商在领取成交通知书前向代理机构一次性足额支付。</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西安市长安区王曲街道办事处</w:t>
      </w:r>
      <w:r>
        <w:rPr>
          <w:rFonts w:ascii="仿宋_GB2312" w:hAnsi="仿宋_GB2312" w:cs="仿宋_GB2312" w:eastAsia="仿宋_GB2312"/>
        </w:rPr>
        <w:t>和</w:t>
      </w:r>
      <w:r>
        <w:rPr>
          <w:rFonts w:ascii="仿宋_GB2312" w:hAnsi="仿宋_GB2312" w:cs="仿宋_GB2312" w:eastAsia="仿宋_GB2312"/>
        </w:rPr>
        <w:t>陕西中采项目管理有限公司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西安市长安区王曲街道办事处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陕西中采项目管理有限公司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西安市长安区王曲街道办事处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陕西中采项目管理有限公司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国家及行业质量验收合格标准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陕西中采项目管理有限公司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陕西中采项目管理有限公司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陕西中采项目管理有限公司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联系人：符宇寒</w:t>
      </w:r>
    </w:p>
    <w:p>
      <w:pPr>
        <w:pStyle w:val="null3"/>
      </w:pPr>
      <w:r>
        <w:rPr>
          <w:rFonts w:ascii="仿宋_GB2312" w:hAnsi="仿宋_GB2312" w:cs="仿宋_GB2312" w:eastAsia="仿宋_GB2312"/>
        </w:rPr>
        <w:t>联系电话：15319195522</w:t>
      </w:r>
    </w:p>
    <w:p>
      <w:pPr>
        <w:pStyle w:val="null3"/>
      </w:pPr>
      <w:r>
        <w:rPr>
          <w:rFonts w:ascii="仿宋_GB2312" w:hAnsi="仿宋_GB2312" w:cs="仿宋_GB2312" w:eastAsia="仿宋_GB2312"/>
        </w:rPr>
        <w:t>地址：西安市雁塔区高新三路新时代大厦西四楼</w:t>
      </w:r>
    </w:p>
    <w:p>
      <w:pPr>
        <w:pStyle w:val="null3"/>
      </w:pPr>
      <w:r>
        <w:rPr>
          <w:rFonts w:ascii="仿宋_GB2312" w:hAnsi="仿宋_GB2312" w:cs="仿宋_GB2312" w:eastAsia="仿宋_GB2312"/>
        </w:rPr>
        <w:t>邮编：721000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1,818,000.00</w:t>
      </w:r>
    </w:p>
    <w:p>
      <w:pPr>
        <w:pStyle w:val="null3"/>
      </w:pPr>
      <w:r>
        <w:rPr>
          <w:rFonts w:ascii="仿宋_GB2312" w:hAnsi="仿宋_GB2312" w:cs="仿宋_GB2312" w:eastAsia="仿宋_GB2312"/>
        </w:rPr>
        <w:t>采购包最高限价（元）: 1,818,000.00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常宁村农村供水保障项目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1,818,000.00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标的名称：常宁村农村供水保障项目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color w:val="000000"/>
              </w:rPr>
              <w:t>一、项目概况：</w:t>
            </w:r>
          </w:p>
          <w:p>
            <w:pPr>
              <w:pStyle w:val="null3"/>
              <w:ind w:firstLine="420"/>
              <w:jc w:val="both"/>
            </w:pPr>
            <w:r>
              <w:rPr>
                <w:rFonts w:ascii="仿宋_GB2312" w:hAnsi="仿宋_GB2312" w:cs="仿宋_GB2312" w:eastAsia="仿宋_GB2312"/>
                <w:sz w:val="21"/>
                <w:color w:val="000000"/>
              </w:rPr>
              <w:t>1.水源工程:维修蓄水池1座，安装32</w:t>
            </w:r>
            <w:r>
              <w:rPr>
                <w:rFonts w:ascii="仿宋_GB2312" w:hAnsi="仿宋_GB2312" w:cs="仿宋_GB2312" w:eastAsia="仿宋_GB2312"/>
                <w:sz w:val="21"/>
                <w:color w:val="000000"/>
              </w:rPr>
              <w:t>m³</w:t>
            </w:r>
            <w:r>
              <w:rPr>
                <w:rFonts w:ascii="仿宋_GB2312" w:hAnsi="仿宋_GB2312" w:cs="仿宋_GB2312" w:eastAsia="仿宋_GB2312"/>
                <w:sz w:val="21"/>
                <w:color w:val="000000"/>
              </w:rPr>
              <w:t>不锈钢水箱</w:t>
            </w:r>
            <w:r>
              <w:rPr>
                <w:rFonts w:ascii="仿宋_GB2312" w:hAnsi="仿宋_GB2312" w:cs="仿宋_GB2312" w:eastAsia="仿宋_GB2312"/>
                <w:sz w:val="21"/>
                <w:color w:val="000000"/>
              </w:rPr>
              <w:t>2座</w:t>
            </w:r>
            <w:r>
              <w:rPr>
                <w:rFonts w:ascii="仿宋_GB2312" w:hAnsi="仿宋_GB2312" w:cs="仿宋_GB2312" w:eastAsia="仿宋_GB2312"/>
                <w:sz w:val="21"/>
                <w:color w:val="000000"/>
              </w:rPr>
              <w:t>，</w:t>
            </w:r>
            <w:r>
              <w:rPr>
                <w:rFonts w:ascii="仿宋_GB2312" w:hAnsi="仿宋_GB2312" w:cs="仿宋_GB2312" w:eastAsia="仿宋_GB2312"/>
                <w:sz w:val="21"/>
                <w:color w:val="000000"/>
              </w:rPr>
              <w:t>安装次氯酸钠发生器</w:t>
            </w:r>
            <w:r>
              <w:rPr>
                <w:rFonts w:ascii="仿宋_GB2312" w:hAnsi="仿宋_GB2312" w:cs="仿宋_GB2312" w:eastAsia="仿宋_GB2312"/>
                <w:sz w:val="21"/>
                <w:color w:val="000000"/>
              </w:rPr>
              <w:t>1套，安装100K</w:t>
            </w:r>
            <w:r>
              <w:rPr>
                <w:rFonts w:ascii="仿宋_GB2312" w:hAnsi="仿宋_GB2312" w:cs="仿宋_GB2312" w:eastAsia="仿宋_GB2312"/>
                <w:sz w:val="21"/>
                <w:color w:val="000000"/>
              </w:rPr>
              <w:t>Q</w:t>
            </w:r>
            <w:r>
              <w:rPr>
                <w:rFonts w:ascii="仿宋_GB2312" w:hAnsi="仿宋_GB2312" w:cs="仿宋_GB2312" w:eastAsia="仿宋_GB2312"/>
                <w:sz w:val="21"/>
                <w:color w:val="000000"/>
              </w:rPr>
              <w:t>GV-20-27-2.2x2变频设备1套。</w:t>
            </w:r>
          </w:p>
          <w:p>
            <w:pPr>
              <w:pStyle w:val="null3"/>
              <w:ind w:firstLine="420"/>
              <w:jc w:val="both"/>
            </w:pPr>
            <w:r>
              <w:rPr>
                <w:rFonts w:ascii="仿宋_GB2312" w:hAnsi="仿宋_GB2312" w:cs="仿宋_GB2312" w:eastAsia="仿宋_GB2312"/>
                <w:sz w:val="21"/>
                <w:color w:val="000000"/>
              </w:rPr>
              <w:t>2.村网工程:铺设干管2569m、支管5174m;其中:铺设De200x22.4PE100-2.0MPa管道1100m、铺设De140x8.3PE100-1.0MPa管道134m、De125x7.4PE100-1.0MPa管道345m、De110x6.6PE100-1.0MPa管道250m、De90x5.4PE100-1.0MPa管道11m、De75x4.5PE100-1.0MPa管道612m、De63x4.7PE100-1.25MPa管道209m、De50x4.6PE100-1.6MPa管道1670m、De40x3.7PE100-1.6MPa管道3134m、De32x3PE100-1.6MPa管道73m</w:t>
            </w:r>
            <w:r>
              <w:rPr>
                <w:rFonts w:ascii="仿宋_GB2312" w:hAnsi="仿宋_GB2312" w:cs="仿宋_GB2312" w:eastAsia="仿宋_GB2312"/>
                <w:sz w:val="21"/>
                <w:color w:val="000000"/>
              </w:rPr>
              <w:t>,</w:t>
            </w:r>
            <w:r>
              <w:rPr>
                <w:rFonts w:ascii="仿宋_GB2312" w:hAnsi="仿宋_GB2312" w:cs="仿宋_GB2312" w:eastAsia="仿宋_GB2312"/>
                <w:sz w:val="21"/>
                <w:color w:val="000000"/>
              </w:rPr>
              <w:t>配套阀井</w:t>
            </w:r>
            <w:r>
              <w:rPr>
                <w:rFonts w:ascii="仿宋_GB2312" w:hAnsi="仿宋_GB2312" w:cs="仿宋_GB2312" w:eastAsia="仿宋_GB2312"/>
                <w:sz w:val="21"/>
                <w:color w:val="000000"/>
              </w:rPr>
              <w:t>39座</w:t>
            </w:r>
          </w:p>
          <w:p>
            <w:pPr>
              <w:pStyle w:val="null3"/>
              <w:ind w:firstLine="420"/>
              <w:jc w:val="both"/>
            </w:pPr>
            <w:r>
              <w:rPr>
                <w:rFonts w:ascii="仿宋_GB2312" w:hAnsi="仿宋_GB2312" w:cs="仿宋_GB2312" w:eastAsia="仿宋_GB2312"/>
                <w:sz w:val="21"/>
                <w:color w:val="000000"/>
              </w:rPr>
              <w:t>3.入户工程:铺设De25x2.3PE100-1.6Mpa分户管2904m，配套闸阀箱780个。</w:t>
            </w:r>
          </w:p>
          <w:p>
            <w:pPr>
              <w:pStyle w:val="null3"/>
              <w:ind w:firstLine="420"/>
              <w:jc w:val="both"/>
            </w:pPr>
            <w:r>
              <w:rPr>
                <w:rFonts w:ascii="仿宋_GB2312" w:hAnsi="仿宋_GB2312" w:cs="仿宋_GB2312" w:eastAsia="仿宋_GB2312"/>
                <w:sz w:val="21"/>
                <w:color w:val="000000"/>
              </w:rPr>
              <w:t>4.附属工程:管理房房顶渗透结晶处理80</w:t>
            </w:r>
            <w:r>
              <w:rPr>
                <w:rFonts w:ascii="仿宋_GB2312" w:hAnsi="仿宋_GB2312" w:cs="仿宋_GB2312" w:eastAsia="仿宋_GB2312"/>
                <w:sz w:val="21"/>
                <w:color w:val="000000"/>
              </w:rPr>
              <w:t>㎡</w:t>
            </w:r>
            <w:r>
              <w:rPr>
                <w:rFonts w:ascii="仿宋_GB2312" w:hAnsi="仿宋_GB2312" w:cs="仿宋_GB2312" w:eastAsia="仿宋_GB2312"/>
                <w:sz w:val="21"/>
                <w:color w:val="000000"/>
              </w:rPr>
              <w:t>、内墙粉刷</w:t>
            </w:r>
            <w:r>
              <w:rPr>
                <w:rFonts w:ascii="仿宋_GB2312" w:hAnsi="仿宋_GB2312" w:cs="仿宋_GB2312" w:eastAsia="仿宋_GB2312"/>
                <w:sz w:val="21"/>
                <w:color w:val="000000"/>
              </w:rPr>
              <w:t>242</w:t>
            </w:r>
            <w:r>
              <w:rPr>
                <w:rFonts w:ascii="仿宋_GB2312" w:hAnsi="仿宋_GB2312" w:cs="仿宋_GB2312" w:eastAsia="仿宋_GB2312"/>
                <w:sz w:val="21"/>
                <w:color w:val="000000"/>
              </w:rPr>
              <w:t>㎡</w:t>
            </w:r>
            <w:r>
              <w:rPr>
                <w:rFonts w:ascii="仿宋_GB2312" w:hAnsi="仿宋_GB2312" w:cs="仿宋_GB2312" w:eastAsia="仿宋_GB2312"/>
                <w:sz w:val="21"/>
                <w:color w:val="000000"/>
              </w:rPr>
              <w:t>地板铺瓷砖</w:t>
            </w:r>
            <w:r>
              <w:rPr>
                <w:rFonts w:ascii="仿宋_GB2312" w:hAnsi="仿宋_GB2312" w:cs="仿宋_GB2312" w:eastAsia="仿宋_GB2312"/>
                <w:sz w:val="21"/>
                <w:color w:val="000000"/>
              </w:rPr>
              <w:t>80</w:t>
            </w:r>
            <w:r>
              <w:rPr>
                <w:rFonts w:ascii="仿宋_GB2312" w:hAnsi="仿宋_GB2312" w:cs="仿宋_GB2312" w:eastAsia="仿宋_GB2312"/>
                <w:sz w:val="21"/>
                <w:color w:val="000000"/>
              </w:rPr>
              <w:t>㎡</w:t>
            </w:r>
            <w:r>
              <w:rPr>
                <w:rFonts w:ascii="仿宋_GB2312" w:hAnsi="仿宋_GB2312" w:cs="仿宋_GB2312" w:eastAsia="仿宋_GB2312"/>
                <w:sz w:val="21"/>
                <w:color w:val="000000"/>
              </w:rPr>
              <w:t>,管理站地面重建200</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二、工程量清单（详见附件）</w:t>
            </w:r>
          </w:p>
          <w:p>
            <w:pPr>
              <w:pStyle w:val="null3"/>
              <w:jc w:val="both"/>
            </w:pPr>
            <w:r>
              <w:rPr>
                <w:rFonts w:ascii="仿宋_GB2312" w:hAnsi="仿宋_GB2312" w:cs="仿宋_GB2312" w:eastAsia="仿宋_GB2312"/>
                <w:sz w:val="21"/>
                <w:color w:val="000000"/>
              </w:rPr>
              <w:t>三、质保期：验收合格后</w:t>
            </w:r>
            <w:r>
              <w:rPr>
                <w:rFonts w:ascii="仿宋_GB2312" w:hAnsi="仿宋_GB2312" w:cs="仿宋_GB2312" w:eastAsia="仿宋_GB2312"/>
                <w:sz w:val="21"/>
                <w:color w:val="000000"/>
              </w:rPr>
              <w:t>1年</w:t>
            </w:r>
          </w:p>
          <w:p>
            <w:pPr>
              <w:pStyle w:val="null3"/>
              <w:jc w:val="both"/>
            </w:pPr>
            <w:r>
              <w:rPr>
                <w:rFonts w:ascii="仿宋_GB2312" w:hAnsi="仿宋_GB2312" w:cs="仿宋_GB2312" w:eastAsia="仿宋_GB2312"/>
                <w:sz w:val="21"/>
                <w:color w:val="000000"/>
              </w:rPr>
              <w:t>四、质量标准：</w:t>
            </w:r>
            <w:r>
              <w:rPr>
                <w:rFonts w:ascii="仿宋_GB2312" w:hAnsi="仿宋_GB2312" w:cs="仿宋_GB2312" w:eastAsia="仿宋_GB2312"/>
                <w:color w:val="000000"/>
              </w:rPr>
              <w:t>符合国家现行有关施工质量验收规范</w:t>
            </w:r>
            <w:r>
              <w:rPr>
                <w:rFonts w:ascii="仿宋_GB2312" w:hAnsi="仿宋_GB2312" w:cs="仿宋_GB2312" w:eastAsia="仿宋_GB2312"/>
                <w:color w:val="000000"/>
              </w:rPr>
              <w:t>“合格”要求</w:t>
            </w:r>
          </w:p>
          <w:p>
            <w:pPr>
              <w:pStyle w:val="null3"/>
              <w:jc w:val="both"/>
            </w:pPr>
            <w:r>
              <w:rPr>
                <w:rFonts w:ascii="仿宋_GB2312" w:hAnsi="仿宋_GB2312" w:cs="仿宋_GB2312" w:eastAsia="仿宋_GB2312"/>
                <w:sz w:val="21"/>
                <w:color w:val="000000"/>
              </w:rPr>
              <w:t>五、计划工期：</w:t>
            </w:r>
            <w:r>
              <w:rPr>
                <w:rFonts w:ascii="仿宋_GB2312" w:hAnsi="仿宋_GB2312" w:cs="仿宋_GB2312" w:eastAsia="仿宋_GB2312"/>
                <w:sz w:val="21"/>
                <w:color w:val="000000"/>
              </w:rPr>
              <w:t>70日历天</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资格审查资料.docx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营业执照或其他证明资料</w:t>
            </w:r>
          </w:p>
        </w:tc>
        <w:tc>
          <w:tcPr>
            <w:tcW w:type="dxa" w:w="3322"/>
          </w:tcPr>
          <w:p>
            <w:pPr>
              <w:pStyle w:val="null3"/>
            </w:pPr>
            <w:r>
              <w:rPr>
                <w:rFonts w:ascii="仿宋_GB2312" w:hAnsi="仿宋_GB2312" w:cs="仿宋_GB2312" w:eastAsia="仿宋_GB2312"/>
              </w:rPr>
              <w:t>供应商应为具有独立承担民事责任的能力且具备向采购人提供相关服务的企业法人、事业法人、其他组织或自然人，企业法人应提供具有统一社会信用代码的营业执照等证明文件；事业法人应提供事业单位法人证等证明文件；其他组织应提供合法证明文件；自然人提供身份证明文件;</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供应商须具备建设行政主管部门颁发的水利水电工程施工总承包三级及以上资质，并具有有效的安全生产许可证；</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拟派项目负责人资质</w:t>
            </w:r>
          </w:p>
        </w:tc>
        <w:tc>
          <w:tcPr>
            <w:tcW w:type="dxa" w:w="3322"/>
          </w:tcPr>
          <w:p>
            <w:pPr>
              <w:pStyle w:val="null3"/>
            </w:pPr>
            <w:r>
              <w:rPr>
                <w:rFonts w:ascii="仿宋_GB2312" w:hAnsi="仿宋_GB2312" w:cs="仿宋_GB2312" w:eastAsia="仿宋_GB2312"/>
              </w:rPr>
              <w:t>拟派项目经理须具备有效的水利水电工程专业二级及以上注册建造师执业资格，具备水利行政主管部门颁发的安全生产考核合格证（水安B证），且在本单位注册，无在建工程(提供无在建项目承诺书)；</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供应商信誉要求</w:t>
            </w:r>
          </w:p>
        </w:tc>
        <w:tc>
          <w:tcPr>
            <w:tcW w:type="dxa" w:w="3322"/>
          </w:tcPr>
          <w:p>
            <w:pPr>
              <w:pStyle w:val="null3"/>
            </w:pPr>
            <w:r>
              <w:rPr>
                <w:rFonts w:ascii="仿宋_GB2312" w:hAnsi="仿宋_GB2312" w:cs="仿宋_GB2312" w:eastAsia="仿宋_GB2312"/>
              </w:rPr>
              <w:t>供应商不得为“信用中国”网站（www.creditchina.gov.cn）中列入重大税收违法失信主体的供应商；不得为“中国执行信息公开网”（http://zxgk.court.gov.cn）中列入失信被执行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本项目不接受联合体磋商（提供非联合体声明函）。</w:t>
            </w:r>
          </w:p>
        </w:tc>
        <w:tc>
          <w:tcPr>
            <w:tcW w:type="dxa" w:w="1661"/>
          </w:tcPr>
          <w:p>
            <w:pPr>
              <w:pStyle w:val="null3"/>
            </w:pPr>
            <w:r>
              <w:rPr>
                <w:rFonts w:ascii="仿宋_GB2312" w:hAnsi="仿宋_GB2312" w:cs="仿宋_GB2312" w:eastAsia="仿宋_GB2312"/>
              </w:rPr>
              <w:t>资格审查资料.docx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供应商应授权合法的人员参加磋商全过程，其中法定代表人直接参加磋商的，须出具法定代表人身份证明，且身份信息与营业执照上对应信息一致。法定代表人授权代表参加磋商的，须出具法定代表人授权委托书及授权代表身份证复印件；自然人参加磋商的须提供身份证复印件； 注：以磋商响应文件中所附签章齐全的法定代表人身份证明或法定代表人授权委托书为准。</w:t>
            </w:r>
          </w:p>
        </w:tc>
        <w:tc>
          <w:tcPr>
            <w:tcW w:type="dxa" w:w="1661"/>
          </w:tcPr>
          <w:p>
            <w:pPr>
              <w:pStyle w:val="null3"/>
            </w:pPr>
            <w:r>
              <w:rPr>
                <w:rFonts w:ascii="仿宋_GB2312" w:hAnsi="仿宋_GB2312" w:cs="仿宋_GB2312" w:eastAsia="仿宋_GB2312"/>
              </w:rPr>
              <w:t>法定代表人（单位负责人）身份证明或授权委托书.docx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计划工期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标的清单 技术服务合同条款及其他商务要求应答表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标的清单 技术服务合同条款及其他商务要求应答表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标的清单 技术服务合同条款及其他商务要求应答表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标的清单 技术服务合同条款及其他商务要求应答表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磋商总报价</w:t>
            </w:r>
          </w:p>
        </w:tc>
        <w:tc>
          <w:tcPr>
            <w:tcW w:type="dxa" w:w="3322"/>
          </w:tcPr>
          <w:p>
            <w:pPr>
              <w:pStyle w:val="null3"/>
            </w:pPr>
            <w:r>
              <w:rPr>
                <w:rFonts w:ascii="仿宋_GB2312" w:hAnsi="仿宋_GB2312" w:cs="仿宋_GB2312" w:eastAsia="仿宋_GB2312"/>
              </w:rPr>
              <w:t>每轮总报价唯一且未超过本项目最高限价</w:t>
            </w:r>
          </w:p>
        </w:tc>
        <w:tc>
          <w:tcPr>
            <w:tcW w:type="dxa" w:w="1661"/>
          </w:tcPr>
          <w:p>
            <w:pPr>
              <w:pStyle w:val="null3"/>
            </w:pPr>
            <w:r>
              <w:rPr>
                <w:rFonts w:ascii="仿宋_GB2312" w:hAnsi="仿宋_GB2312" w:cs="仿宋_GB2312" w:eastAsia="仿宋_GB2312"/>
              </w:rPr>
              <w:t>报价函 标的清单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施工组织部署及施工总平面布置</w:t>
            </w:r>
          </w:p>
        </w:tc>
        <w:tc>
          <w:tcPr>
            <w:tcW w:type="dxa" w:w="2492"/>
          </w:tcPr>
          <w:p>
            <w:pPr>
              <w:pStyle w:val="null3"/>
            </w:pPr>
            <w:r>
              <w:rPr>
                <w:rFonts w:ascii="仿宋_GB2312" w:hAnsi="仿宋_GB2312" w:cs="仿宋_GB2312" w:eastAsia="仿宋_GB2312"/>
              </w:rPr>
              <w:t>1.施工组织部署详尽阐述，施工总平面布置明确具体且针对性充足的，得7分； 2.施工组织部署及施工总平面布置明确，且具有一定针对性的，得5分； 3.施工组织部署及施工总平面布置含糊，但具有一定针对性的，得3分； 4.施工组织部署及施工总平面布置含糊，内容空洞且不具有针对性的，得1分； 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1.施工方案详细具体合理，衔接紧密且具有针对性，得9分； 2.施工方案详细具体且具有一定合理性，各阶段工作衔接基本紧密且具有一定针对性，得7分； 3.施工方案明确，各阶段工作有一定衔接性及针对性，得5分； 4.施工方案基本明确，各阶段工作衔接性及方案针对性不足，得3分； 5.施工方案含糊，各阶段工作无衔接无针对性，得1分； 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确保施工进度的技术组织措施</w:t>
            </w:r>
          </w:p>
        </w:tc>
        <w:tc>
          <w:tcPr>
            <w:tcW w:type="dxa" w:w="2492"/>
          </w:tcPr>
          <w:p>
            <w:pPr>
              <w:pStyle w:val="null3"/>
            </w:pPr>
            <w:r>
              <w:rPr>
                <w:rFonts w:ascii="仿宋_GB2312" w:hAnsi="仿宋_GB2312" w:cs="仿宋_GB2312" w:eastAsia="仿宋_GB2312"/>
              </w:rPr>
              <w:t>1.施工进度计划详细具体，合理可行，施工进度表或施工网络图绘制规范、得当，有确保工期的技术组织措施且措施合理得当的，得7分； 2.施工进度计划明确且基本合理，有施工进度表或施工网络图，有确保工期的技术组织措施且措施内容基本合理的，得5分； 3.施工进度计划明确且基本合理，有施工进度表或施工网络图，确保工期的技术组织措施内容不全或不合理，且未贴合实际的，得3分。 4.施工进度计划含糊且合理性不足，无施工进度表或施工网络图，确保工期的技术组织措施内容不全或不合理，且未贴合实际的，得1分。 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1.工程质量技术管理机构和制度完善，具有健全的质量管理体系，主要工序有完善合理的质量技术保证措施的，得7分； 2.工程质量技术管理机构和制度较完善，具有健全的质量管理体系，主要工序有较完善合理的质量技术保证措施的，得5分； 3.工程质量技术管理机构和制度明确，无质量管理体系，主要工序有较完善的质量技术保证措施的，得3分； 4.工程质量技术管理机构和制度含糊，无质量管理体系，主要工序无质量技术保证措施含糊或有实质性缺陷，得1分。 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1.针对本项目安全生产的技术的组织措施详细具体切实可行的，得7分； 2.针对本项目安全生产的技术的组织措施明确且具有可行性，得5分； 3.针对本项目安全生产的技术的组织措施明确但可行性不足，得3分。 4.针对本项目安全生产的技术的组织措施粗略且可行性不足，得1分。 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w:t>
            </w:r>
          </w:p>
        </w:tc>
        <w:tc>
          <w:tcPr>
            <w:tcW w:type="dxa" w:w="2492"/>
          </w:tcPr>
          <w:p>
            <w:pPr>
              <w:pStyle w:val="null3"/>
            </w:pPr>
            <w:r>
              <w:rPr>
                <w:rFonts w:ascii="仿宋_GB2312" w:hAnsi="仿宋_GB2312" w:cs="仿宋_GB2312" w:eastAsia="仿宋_GB2312"/>
              </w:rPr>
              <w:t>1.文明施工计划全面，文明施工组织措施合理可行的，得7分； 2.文明施工计划较全面，文明施工组织措施基本合理的，得5分； 3.文明施工计划较全面，文明施工组织措施不合理的，得3分。 4.文明施工计划不全面，文明施工组织措施不合理的，得1分。 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确保施工环境保护措施</w:t>
            </w:r>
          </w:p>
        </w:tc>
        <w:tc>
          <w:tcPr>
            <w:tcW w:type="dxa" w:w="2492"/>
          </w:tcPr>
          <w:p>
            <w:pPr>
              <w:pStyle w:val="null3"/>
            </w:pPr>
            <w:r>
              <w:rPr>
                <w:rFonts w:ascii="仿宋_GB2312" w:hAnsi="仿宋_GB2312" w:cs="仿宋_GB2312" w:eastAsia="仿宋_GB2312"/>
              </w:rPr>
              <w:t>1.环境卫生管理制度及管理职责详细具体，施工环境保护措施完善的，得7分； 2.环境卫生管理制度及管理职责明确；施工环境保护措施较完善的，得5分； 3.环境卫生管理制度及管理职责较明确，施工环境保护措施不完善，得3分。 4.环境卫生管理制度及管理职责含糊，施工环境保护措施不完善，得1分。 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施工机械配备投入计划</w:t>
            </w:r>
          </w:p>
        </w:tc>
        <w:tc>
          <w:tcPr>
            <w:tcW w:type="dxa" w:w="2492"/>
          </w:tcPr>
          <w:p>
            <w:pPr>
              <w:pStyle w:val="null3"/>
            </w:pPr>
            <w:r>
              <w:rPr>
                <w:rFonts w:ascii="仿宋_GB2312" w:hAnsi="仿宋_GB2312" w:cs="仿宋_GB2312" w:eastAsia="仿宋_GB2312"/>
              </w:rPr>
              <w:t>1.施工机械配备投入计划详细全面、完善合理，得7分； 2.施工机械配备投入计划较为全面，基本合理，得5分； 3.施工机械配备投入计划基本明确，合理性不足，得3分； 4.施工机械配备投入计划粗略，合理性不足，无法满足项目需求，得1分。 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项目管理机构组成</w:t>
            </w:r>
          </w:p>
        </w:tc>
        <w:tc>
          <w:tcPr>
            <w:tcW w:type="dxa" w:w="2492"/>
          </w:tcPr>
          <w:p>
            <w:pPr>
              <w:pStyle w:val="null3"/>
            </w:pPr>
            <w:r>
              <w:rPr>
                <w:rFonts w:ascii="仿宋_GB2312" w:hAnsi="仿宋_GB2312" w:cs="仿宋_GB2312" w:eastAsia="仿宋_GB2312"/>
              </w:rPr>
              <w:t>1.人员配备充足、安排合理、分工详细，得7分； 2.人员配备较充足、安排较合理、分工较明确，得5分； 3.人员配备欠缺、安排不合理、分工含糊，得3分； 4.人员配备欠缺、无人员安排及分工，得1分； 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项目管理机构组成表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供应商提供2022年1月1日至今完成的类似水利业绩证明，每提供一份得2.5分，最高得5分； 注：以响应文件中所附的合同协议书复印件为准，时间以合同签订时间为准，无签订日期或无关键页不得分。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近年完成的类似项目情况表.docx</w:t>
            </w:r>
          </w:p>
          <w:p>
            <w:pPr>
              <w:pStyle w:val="null3"/>
            </w:pPr>
            <w:r>
              <w:rPr>
                <w:rFonts w:ascii="仿宋_GB2312" w:hAnsi="仿宋_GB2312" w:cs="仿宋_GB2312" w:eastAsia="仿宋_GB2312"/>
              </w:rPr>
              <w:t>供应商认为需要提供的其他资料.docx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1、评审范围：有效的磋商响应总报价（指经初审合格的供应商的磋商最终响应总报价）。 2、满足竞争性磋商文件要求且最终响应总报价价格最低的价格为磋商基准价，其价格分为满分。其他供应商的价格分统一按照下列公式计算： 磋商报价得分=（磋商基准价/最终响应总报价）×分值 3、评分分值计算保留小数点后两位，小数点后第三位“四舍五入”。</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详见附件：法定代表人（单位负责人）身份证明或授权委托书.docx</w:t>
      </w:r>
    </w:p>
    <w:p>
      <w:pPr>
        <w:pStyle w:val="null3"/>
        <w:ind w:firstLine="960"/>
      </w:pPr>
      <w:r>
        <w:rPr>
          <w:rFonts w:ascii="仿宋_GB2312" w:hAnsi="仿宋_GB2312" w:cs="仿宋_GB2312" w:eastAsia="仿宋_GB2312"/>
        </w:rPr>
        <w:t>详见附件：资格审查资料.docx</w:t>
      </w:r>
    </w:p>
    <w:p>
      <w:pPr>
        <w:pStyle w:val="null3"/>
        <w:ind w:firstLine="960"/>
      </w:pPr>
      <w:r>
        <w:rPr>
          <w:rFonts w:ascii="仿宋_GB2312" w:hAnsi="仿宋_GB2312" w:cs="仿宋_GB2312" w:eastAsia="仿宋_GB2312"/>
        </w:rPr>
        <w:t>详见附件：施工组织设计.docx</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详见附件：近年完成的类似项目情况表.docx</w:t>
      </w:r>
    </w:p>
    <w:p>
      <w:pPr>
        <w:pStyle w:val="null3"/>
        <w:ind w:firstLine="960"/>
      </w:pPr>
      <w:r>
        <w:rPr>
          <w:rFonts w:ascii="仿宋_GB2312" w:hAnsi="仿宋_GB2312" w:cs="仿宋_GB2312" w:eastAsia="仿宋_GB2312"/>
        </w:rPr>
        <w:t>详见附件：供应商认为需要提供的其他资料.docx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详见附件：合同样稿.docx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