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5BFA6">
      <w:pPr>
        <w:pStyle w:val="5"/>
        <w:jc w:val="center"/>
        <w:outlineLvl w:val="1"/>
      </w:pPr>
      <w:r>
        <w:rPr>
          <w:rFonts w:ascii="仿宋_GB2312" w:hAnsi="仿宋_GB2312" w:eastAsia="仿宋_GB2312" w:cs="仿宋_GB2312"/>
          <w:b/>
          <w:sz w:val="36"/>
        </w:rPr>
        <w:t xml:space="preserve"> 磋商项目技术、服务、商务及其他要求</w:t>
      </w:r>
    </w:p>
    <w:p w14:paraId="5013C1A5">
      <w:pPr>
        <w:pStyle w:val="5"/>
        <w:keepNext w:val="0"/>
        <w:keepLines w:val="0"/>
        <w:pageBreakBefore w:val="0"/>
        <w:widowControl/>
        <w:kinsoku/>
        <w:wordWrap/>
        <w:overflowPunct/>
        <w:topLinePunct w:val="0"/>
        <w:autoSpaceDE/>
        <w:autoSpaceDN/>
        <w:bidi w:val="0"/>
        <w:adjustRightInd/>
        <w:snapToGrid/>
        <w:spacing w:line="360" w:lineRule="auto"/>
        <w:ind w:firstLine="480"/>
        <w:textAlignment w:val="auto"/>
        <w:rPr>
          <w:sz w:val="20"/>
          <w:szCs w:val="20"/>
        </w:rPr>
      </w:pPr>
      <w:r>
        <w:rPr>
          <w:rFonts w:ascii="仿宋_GB2312" w:hAnsi="仿宋_GB2312" w:eastAsia="仿宋_GB2312" w:cs="仿宋_GB2312"/>
          <w:sz w:val="20"/>
          <w:szCs w:val="20"/>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5BF2A03">
      <w:pPr>
        <w:pStyle w:val="5"/>
        <w:keepNext w:val="0"/>
        <w:keepLines w:val="0"/>
        <w:pageBreakBefore w:val="0"/>
        <w:widowControl/>
        <w:kinsoku/>
        <w:wordWrap/>
        <w:overflowPunct/>
        <w:topLinePunct w:val="0"/>
        <w:autoSpaceDE/>
        <w:autoSpaceDN/>
        <w:bidi w:val="0"/>
        <w:adjustRightInd/>
        <w:snapToGrid/>
        <w:spacing w:line="360" w:lineRule="auto"/>
        <w:textAlignment w:val="auto"/>
        <w:outlineLvl w:val="2"/>
        <w:rPr>
          <w:sz w:val="20"/>
          <w:szCs w:val="20"/>
        </w:rPr>
      </w:pPr>
      <w:r>
        <w:rPr>
          <w:rFonts w:ascii="仿宋_GB2312" w:hAnsi="仿宋_GB2312" w:eastAsia="仿宋_GB2312" w:cs="仿宋_GB2312"/>
          <w:b/>
          <w:sz w:val="20"/>
          <w:szCs w:val="20"/>
        </w:rPr>
        <w:t>3.1采购项目概况</w:t>
      </w:r>
    </w:p>
    <w:p w14:paraId="3C1C2E01">
      <w:pPr>
        <w:pStyle w:val="5"/>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eastAsia="宋体"/>
          <w:sz w:val="20"/>
          <w:szCs w:val="20"/>
          <w:lang w:eastAsia="zh-CN"/>
        </w:rPr>
      </w:pPr>
      <w:r>
        <w:rPr>
          <w:rFonts w:hint="eastAsia" w:ascii="仿宋_GB2312" w:hAnsi="仿宋_GB2312" w:eastAsia="仿宋_GB2312" w:cs="仿宋_GB2312"/>
          <w:sz w:val="20"/>
          <w:szCs w:val="20"/>
          <w:lang w:eastAsia="zh-CN"/>
        </w:rPr>
        <w:t>水电设备设施运行运维服务</w:t>
      </w:r>
    </w:p>
    <w:p w14:paraId="40FC2EF4">
      <w:pPr>
        <w:pStyle w:val="5"/>
        <w:keepNext w:val="0"/>
        <w:keepLines w:val="0"/>
        <w:pageBreakBefore w:val="0"/>
        <w:widowControl/>
        <w:kinsoku/>
        <w:wordWrap/>
        <w:overflowPunct/>
        <w:topLinePunct w:val="0"/>
        <w:autoSpaceDE/>
        <w:autoSpaceDN/>
        <w:bidi w:val="0"/>
        <w:adjustRightInd/>
        <w:snapToGrid/>
        <w:spacing w:line="360" w:lineRule="auto"/>
        <w:textAlignment w:val="auto"/>
        <w:outlineLvl w:val="2"/>
        <w:rPr>
          <w:sz w:val="20"/>
          <w:szCs w:val="20"/>
        </w:rPr>
      </w:pPr>
      <w:r>
        <w:rPr>
          <w:rFonts w:ascii="仿宋_GB2312" w:hAnsi="仿宋_GB2312" w:eastAsia="仿宋_GB2312" w:cs="仿宋_GB2312"/>
          <w:b/>
          <w:sz w:val="20"/>
          <w:szCs w:val="20"/>
        </w:rPr>
        <w:t>3.2服务内容及服务要求</w:t>
      </w:r>
    </w:p>
    <w:p w14:paraId="0F747466">
      <w:pPr>
        <w:pStyle w:val="5"/>
        <w:keepNext w:val="0"/>
        <w:keepLines w:val="0"/>
        <w:pageBreakBefore w:val="0"/>
        <w:widowControl/>
        <w:kinsoku/>
        <w:wordWrap/>
        <w:overflowPunct/>
        <w:topLinePunct w:val="0"/>
        <w:autoSpaceDE/>
        <w:autoSpaceDN/>
        <w:bidi w:val="0"/>
        <w:adjustRightInd/>
        <w:snapToGrid/>
        <w:spacing w:line="360" w:lineRule="auto"/>
        <w:textAlignment w:val="auto"/>
        <w:outlineLvl w:val="3"/>
        <w:rPr>
          <w:sz w:val="20"/>
          <w:szCs w:val="20"/>
        </w:rPr>
      </w:pPr>
      <w:r>
        <w:rPr>
          <w:rFonts w:ascii="仿宋_GB2312" w:hAnsi="仿宋_GB2312" w:eastAsia="仿宋_GB2312" w:cs="仿宋_GB2312"/>
          <w:b/>
          <w:sz w:val="20"/>
          <w:szCs w:val="20"/>
        </w:rPr>
        <w:t>3.2.1服务内容</w:t>
      </w:r>
    </w:p>
    <w:p w14:paraId="2B9D8E8C">
      <w:pPr>
        <w:pStyle w:val="5"/>
        <w:keepNext w:val="0"/>
        <w:keepLines w:val="0"/>
        <w:pageBreakBefore w:val="0"/>
        <w:widowControl/>
        <w:kinsoku/>
        <w:wordWrap/>
        <w:overflowPunct/>
        <w:topLinePunct w:val="0"/>
        <w:autoSpaceDE/>
        <w:autoSpaceDN/>
        <w:bidi w:val="0"/>
        <w:adjustRightInd/>
        <w:snapToGrid/>
        <w:spacing w:line="360" w:lineRule="auto"/>
        <w:textAlignment w:val="auto"/>
        <w:rPr>
          <w:sz w:val="20"/>
          <w:szCs w:val="20"/>
        </w:rPr>
      </w:pPr>
      <w:r>
        <w:rPr>
          <w:rFonts w:ascii="仿宋_GB2312" w:hAnsi="仿宋_GB2312" w:eastAsia="仿宋_GB2312" w:cs="仿宋_GB2312"/>
          <w:sz w:val="20"/>
          <w:szCs w:val="20"/>
        </w:rPr>
        <w:t>采购包1：</w:t>
      </w:r>
    </w:p>
    <w:p w14:paraId="4871F30A">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sz w:val="20"/>
          <w:szCs w:val="20"/>
          <w:lang w:eastAsia="zh-CN"/>
        </w:rPr>
      </w:pPr>
      <w:r>
        <w:rPr>
          <w:rFonts w:ascii="仿宋_GB2312" w:hAnsi="仿宋_GB2312" w:eastAsia="仿宋_GB2312" w:cs="仿宋_GB2312"/>
          <w:sz w:val="20"/>
          <w:szCs w:val="20"/>
        </w:rPr>
        <w:t xml:space="preserve">采购包预算金额（元）: </w:t>
      </w:r>
      <w:r>
        <w:rPr>
          <w:rFonts w:hint="eastAsia" w:ascii="仿宋_GB2312" w:hAnsi="仿宋_GB2312" w:eastAsia="仿宋_GB2312" w:cs="仿宋_GB2312"/>
          <w:sz w:val="20"/>
          <w:szCs w:val="20"/>
          <w:lang w:eastAsia="zh-CN"/>
        </w:rPr>
        <w:t>1050000.00</w:t>
      </w:r>
    </w:p>
    <w:p w14:paraId="58F02F4D">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sz w:val="20"/>
          <w:szCs w:val="20"/>
          <w:lang w:eastAsia="zh-CN"/>
        </w:rPr>
      </w:pPr>
      <w:r>
        <w:rPr>
          <w:rFonts w:ascii="仿宋_GB2312" w:hAnsi="仿宋_GB2312" w:eastAsia="仿宋_GB2312" w:cs="仿宋_GB2312"/>
          <w:sz w:val="20"/>
          <w:szCs w:val="20"/>
        </w:rPr>
        <w:t xml:space="preserve">采购包最高限价（元）: </w:t>
      </w:r>
      <w:r>
        <w:rPr>
          <w:rFonts w:hint="eastAsia" w:ascii="仿宋_GB2312" w:hAnsi="仿宋_GB2312" w:eastAsia="仿宋_GB2312" w:cs="仿宋_GB2312"/>
          <w:sz w:val="20"/>
          <w:szCs w:val="20"/>
          <w:lang w:eastAsia="zh-CN"/>
        </w:rPr>
        <w:t>1050000.00</w:t>
      </w:r>
    </w:p>
    <w:p w14:paraId="09D45379">
      <w:pPr>
        <w:pStyle w:val="5"/>
        <w:keepNext w:val="0"/>
        <w:keepLines w:val="0"/>
        <w:pageBreakBefore w:val="0"/>
        <w:widowControl/>
        <w:kinsoku/>
        <w:wordWrap/>
        <w:overflowPunct/>
        <w:topLinePunct w:val="0"/>
        <w:autoSpaceDE/>
        <w:autoSpaceDN/>
        <w:bidi w:val="0"/>
        <w:adjustRightInd/>
        <w:snapToGrid/>
        <w:spacing w:line="360" w:lineRule="auto"/>
        <w:textAlignment w:val="auto"/>
        <w:rPr>
          <w:sz w:val="20"/>
          <w:szCs w:val="20"/>
        </w:rPr>
      </w:pPr>
      <w:r>
        <w:rPr>
          <w:rFonts w:ascii="仿宋_GB2312" w:hAnsi="仿宋_GB2312" w:eastAsia="仿宋_GB2312" w:cs="仿宋_GB2312"/>
          <w:sz w:val="20"/>
          <w:szCs w:val="20"/>
        </w:rPr>
        <w:t>供应商报价不允许超过标的金额</w:t>
      </w:r>
    </w:p>
    <w:p w14:paraId="7E876E7D">
      <w:pPr>
        <w:pStyle w:val="5"/>
        <w:keepNext w:val="0"/>
        <w:keepLines w:val="0"/>
        <w:pageBreakBefore w:val="0"/>
        <w:widowControl/>
        <w:kinsoku/>
        <w:wordWrap/>
        <w:overflowPunct/>
        <w:topLinePunct w:val="0"/>
        <w:autoSpaceDE/>
        <w:autoSpaceDN/>
        <w:bidi w:val="0"/>
        <w:adjustRightInd/>
        <w:snapToGrid/>
        <w:spacing w:line="360" w:lineRule="auto"/>
        <w:textAlignment w:val="auto"/>
        <w:rPr>
          <w:sz w:val="20"/>
          <w:szCs w:val="20"/>
        </w:rPr>
      </w:pPr>
      <w:r>
        <w:rPr>
          <w:rFonts w:ascii="仿宋_GB2312" w:hAnsi="仿宋_GB2312" w:eastAsia="仿宋_GB2312" w:cs="仿宋_GB2312"/>
          <w:sz w:val="20"/>
          <w:szCs w:val="20"/>
        </w:rPr>
        <w:t>（招单价的）供应商报价不允许超过标的单价</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5"/>
        <w:gridCol w:w="820"/>
        <w:gridCol w:w="1216"/>
        <w:gridCol w:w="810"/>
        <w:gridCol w:w="810"/>
        <w:gridCol w:w="810"/>
        <w:gridCol w:w="810"/>
        <w:gridCol w:w="810"/>
        <w:gridCol w:w="811"/>
      </w:tblGrid>
      <w:tr w14:paraId="509A8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0848C0AD">
            <w:pPr>
              <w:pStyle w:val="5"/>
              <w:rPr>
                <w:highlight w:val="none"/>
              </w:rPr>
            </w:pPr>
            <w:r>
              <w:rPr>
                <w:rFonts w:ascii="仿宋_GB2312" w:hAnsi="仿宋_GB2312" w:eastAsia="仿宋_GB2312" w:cs="仿宋_GB2312"/>
                <w:highlight w:val="none"/>
              </w:rPr>
              <w:t>序号</w:t>
            </w:r>
          </w:p>
        </w:tc>
        <w:tc>
          <w:tcPr>
            <w:tcW w:w="831" w:type="dxa"/>
            <w:noWrap w:val="0"/>
            <w:vAlign w:val="top"/>
          </w:tcPr>
          <w:p w14:paraId="13244F99">
            <w:pPr>
              <w:pStyle w:val="5"/>
              <w:rPr>
                <w:highlight w:val="none"/>
              </w:rPr>
            </w:pPr>
            <w:r>
              <w:rPr>
                <w:rFonts w:ascii="仿宋_GB2312" w:hAnsi="仿宋_GB2312" w:eastAsia="仿宋_GB2312" w:cs="仿宋_GB2312"/>
                <w:highlight w:val="none"/>
              </w:rPr>
              <w:t>标的名称</w:t>
            </w:r>
          </w:p>
        </w:tc>
        <w:tc>
          <w:tcPr>
            <w:tcW w:w="831" w:type="dxa"/>
            <w:noWrap w:val="0"/>
            <w:vAlign w:val="top"/>
          </w:tcPr>
          <w:p w14:paraId="15C245CE">
            <w:pPr>
              <w:pStyle w:val="5"/>
              <w:rPr>
                <w:highlight w:val="none"/>
              </w:rPr>
            </w:pPr>
            <w:r>
              <w:rPr>
                <w:rFonts w:ascii="仿宋_GB2312" w:hAnsi="仿宋_GB2312" w:eastAsia="仿宋_GB2312" w:cs="仿宋_GB2312"/>
                <w:highlight w:val="none"/>
              </w:rPr>
              <w:t>数量</w:t>
            </w:r>
          </w:p>
        </w:tc>
        <w:tc>
          <w:tcPr>
            <w:tcW w:w="831" w:type="dxa"/>
            <w:noWrap w:val="0"/>
            <w:vAlign w:val="top"/>
          </w:tcPr>
          <w:p w14:paraId="18E413DF">
            <w:pPr>
              <w:pStyle w:val="5"/>
              <w:rPr>
                <w:highlight w:val="none"/>
              </w:rPr>
            </w:pPr>
            <w:r>
              <w:rPr>
                <w:rFonts w:ascii="仿宋_GB2312" w:hAnsi="仿宋_GB2312" w:eastAsia="仿宋_GB2312" w:cs="仿宋_GB2312"/>
                <w:highlight w:val="none"/>
              </w:rPr>
              <w:t>标的金额 （元）</w:t>
            </w:r>
          </w:p>
        </w:tc>
        <w:tc>
          <w:tcPr>
            <w:tcW w:w="831" w:type="dxa"/>
            <w:noWrap w:val="0"/>
            <w:vAlign w:val="top"/>
          </w:tcPr>
          <w:p w14:paraId="3EDD3BD0">
            <w:pPr>
              <w:pStyle w:val="5"/>
              <w:rPr>
                <w:highlight w:val="none"/>
              </w:rPr>
            </w:pPr>
            <w:r>
              <w:rPr>
                <w:rFonts w:ascii="仿宋_GB2312" w:hAnsi="仿宋_GB2312" w:eastAsia="仿宋_GB2312" w:cs="仿宋_GB2312"/>
                <w:highlight w:val="none"/>
              </w:rPr>
              <w:t>计量单位</w:t>
            </w:r>
          </w:p>
        </w:tc>
        <w:tc>
          <w:tcPr>
            <w:tcW w:w="831" w:type="dxa"/>
            <w:noWrap w:val="0"/>
            <w:vAlign w:val="top"/>
          </w:tcPr>
          <w:p w14:paraId="723A5F69">
            <w:pPr>
              <w:pStyle w:val="5"/>
              <w:rPr>
                <w:highlight w:val="none"/>
              </w:rPr>
            </w:pPr>
            <w:r>
              <w:rPr>
                <w:rFonts w:ascii="仿宋_GB2312" w:hAnsi="仿宋_GB2312" w:eastAsia="仿宋_GB2312" w:cs="仿宋_GB2312"/>
                <w:highlight w:val="none"/>
              </w:rPr>
              <w:t>所属行业</w:t>
            </w:r>
          </w:p>
        </w:tc>
        <w:tc>
          <w:tcPr>
            <w:tcW w:w="831" w:type="dxa"/>
            <w:noWrap w:val="0"/>
            <w:vAlign w:val="top"/>
          </w:tcPr>
          <w:p w14:paraId="6BAACFF9">
            <w:pPr>
              <w:pStyle w:val="5"/>
              <w:rPr>
                <w:highlight w:val="none"/>
              </w:rPr>
            </w:pPr>
            <w:r>
              <w:rPr>
                <w:rFonts w:ascii="仿宋_GB2312" w:hAnsi="仿宋_GB2312" w:eastAsia="仿宋_GB2312" w:cs="仿宋_GB2312"/>
                <w:highlight w:val="none"/>
              </w:rPr>
              <w:t>是否核心产品</w:t>
            </w:r>
          </w:p>
        </w:tc>
        <w:tc>
          <w:tcPr>
            <w:tcW w:w="831" w:type="dxa"/>
            <w:noWrap w:val="0"/>
            <w:vAlign w:val="top"/>
          </w:tcPr>
          <w:p w14:paraId="374C42B8">
            <w:pPr>
              <w:pStyle w:val="5"/>
              <w:rPr>
                <w:highlight w:val="none"/>
              </w:rPr>
            </w:pPr>
            <w:r>
              <w:rPr>
                <w:rFonts w:ascii="仿宋_GB2312" w:hAnsi="仿宋_GB2312" w:eastAsia="仿宋_GB2312" w:cs="仿宋_GB2312"/>
                <w:highlight w:val="none"/>
              </w:rPr>
              <w:t>是否允许进口产品</w:t>
            </w:r>
          </w:p>
        </w:tc>
        <w:tc>
          <w:tcPr>
            <w:tcW w:w="831" w:type="dxa"/>
            <w:noWrap w:val="0"/>
            <w:vAlign w:val="top"/>
          </w:tcPr>
          <w:p w14:paraId="63C06E0D">
            <w:pPr>
              <w:pStyle w:val="5"/>
              <w:rPr>
                <w:highlight w:val="none"/>
              </w:rPr>
            </w:pPr>
            <w:r>
              <w:rPr>
                <w:rFonts w:ascii="仿宋_GB2312" w:hAnsi="仿宋_GB2312" w:eastAsia="仿宋_GB2312" w:cs="仿宋_GB2312"/>
                <w:highlight w:val="none"/>
              </w:rPr>
              <w:t>是否属于节能产品</w:t>
            </w:r>
          </w:p>
        </w:tc>
        <w:tc>
          <w:tcPr>
            <w:tcW w:w="831" w:type="dxa"/>
            <w:noWrap w:val="0"/>
            <w:vAlign w:val="top"/>
          </w:tcPr>
          <w:p w14:paraId="3AA9F819">
            <w:pPr>
              <w:pStyle w:val="5"/>
              <w:rPr>
                <w:highlight w:val="none"/>
              </w:rPr>
            </w:pPr>
            <w:r>
              <w:rPr>
                <w:rFonts w:ascii="仿宋_GB2312" w:hAnsi="仿宋_GB2312" w:eastAsia="仿宋_GB2312" w:cs="仿宋_GB2312"/>
                <w:highlight w:val="none"/>
              </w:rPr>
              <w:t>是否属于环境标志产品</w:t>
            </w:r>
          </w:p>
        </w:tc>
      </w:tr>
      <w:tr w14:paraId="51743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noWrap w:val="0"/>
            <w:vAlign w:val="top"/>
          </w:tcPr>
          <w:p w14:paraId="3AB20FF2">
            <w:pPr>
              <w:pStyle w:val="5"/>
              <w:rPr>
                <w:highlight w:val="none"/>
              </w:rPr>
            </w:pPr>
            <w:r>
              <w:rPr>
                <w:rFonts w:ascii="仿宋_GB2312" w:hAnsi="仿宋_GB2312" w:eastAsia="仿宋_GB2312" w:cs="仿宋_GB2312"/>
                <w:highlight w:val="none"/>
              </w:rPr>
              <w:t>1</w:t>
            </w:r>
          </w:p>
        </w:tc>
        <w:tc>
          <w:tcPr>
            <w:tcW w:w="831" w:type="dxa"/>
            <w:noWrap w:val="0"/>
            <w:vAlign w:val="top"/>
          </w:tcPr>
          <w:p w14:paraId="155AEEA0">
            <w:pPr>
              <w:pStyle w:val="5"/>
              <w:rPr>
                <w:rFonts w:hint="eastAsia" w:eastAsia="宋体"/>
                <w:highlight w:val="none"/>
                <w:lang w:eastAsia="zh-CN"/>
              </w:rPr>
            </w:pPr>
            <w:r>
              <w:rPr>
                <w:rFonts w:hint="eastAsia" w:ascii="仿宋_GB2312" w:hAnsi="仿宋_GB2312" w:eastAsia="仿宋_GB2312" w:cs="仿宋_GB2312"/>
                <w:highlight w:val="none"/>
                <w:lang w:eastAsia="zh-CN"/>
              </w:rPr>
              <w:t>水电设备设施运行运维服务)</w:t>
            </w:r>
          </w:p>
        </w:tc>
        <w:tc>
          <w:tcPr>
            <w:tcW w:w="831" w:type="dxa"/>
            <w:noWrap w:val="0"/>
            <w:vAlign w:val="top"/>
          </w:tcPr>
          <w:p w14:paraId="1B916426">
            <w:pPr>
              <w:pStyle w:val="5"/>
              <w:jc w:val="right"/>
              <w:rPr>
                <w:highlight w:val="none"/>
              </w:rPr>
            </w:pP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.00</w:t>
            </w:r>
          </w:p>
        </w:tc>
        <w:tc>
          <w:tcPr>
            <w:tcW w:w="831" w:type="dxa"/>
            <w:noWrap w:val="0"/>
            <w:vAlign w:val="top"/>
          </w:tcPr>
          <w:p w14:paraId="0DE20E28">
            <w:pPr>
              <w:pStyle w:val="5"/>
              <w:jc w:val="right"/>
              <w:rPr>
                <w:rFonts w:hint="eastAsia" w:eastAsia="宋体"/>
                <w:highlight w:val="none"/>
                <w:lang w:eastAsia="zh-CN"/>
              </w:rPr>
            </w:pPr>
            <w:r>
              <w:rPr>
                <w:rFonts w:hint="eastAsia" w:ascii="仿宋_GB2312" w:hAnsi="仿宋_GB2312" w:eastAsia="仿宋_GB2312" w:cs="仿宋_GB2312"/>
                <w:highlight w:val="none"/>
                <w:lang w:eastAsia="zh-CN"/>
              </w:rPr>
              <w:t>1050000.00</w:t>
            </w:r>
          </w:p>
        </w:tc>
        <w:tc>
          <w:tcPr>
            <w:tcW w:w="831" w:type="dxa"/>
            <w:noWrap w:val="0"/>
            <w:vAlign w:val="top"/>
          </w:tcPr>
          <w:p w14:paraId="41E0B213">
            <w:pPr>
              <w:pStyle w:val="5"/>
              <w:rPr>
                <w:highlight w:val="none"/>
              </w:rPr>
            </w:pPr>
            <w:r>
              <w:rPr>
                <w:rFonts w:ascii="仿宋_GB2312" w:hAnsi="仿宋_GB2312" w:eastAsia="仿宋_GB2312" w:cs="仿宋_GB2312"/>
                <w:highlight w:val="none"/>
              </w:rPr>
              <w:t>年</w:t>
            </w:r>
          </w:p>
        </w:tc>
        <w:tc>
          <w:tcPr>
            <w:tcW w:w="831" w:type="dxa"/>
            <w:noWrap w:val="0"/>
            <w:vAlign w:val="top"/>
          </w:tcPr>
          <w:p w14:paraId="68B20AC0">
            <w:pPr>
              <w:pStyle w:val="5"/>
              <w:rPr>
                <w:highlight w:val="none"/>
              </w:rPr>
            </w:pPr>
            <w:r>
              <w:rPr>
                <w:rFonts w:ascii="仿宋_GB2312" w:hAnsi="仿宋_GB2312" w:eastAsia="仿宋_GB2312" w:cs="仿宋_GB2312"/>
                <w:highlight w:val="none"/>
              </w:rPr>
              <w:t>其他未列明行业</w:t>
            </w:r>
          </w:p>
        </w:tc>
        <w:tc>
          <w:tcPr>
            <w:tcW w:w="831" w:type="dxa"/>
            <w:noWrap w:val="0"/>
            <w:vAlign w:val="top"/>
          </w:tcPr>
          <w:p w14:paraId="1C8F27EC">
            <w:pPr>
              <w:pStyle w:val="5"/>
              <w:rPr>
                <w:highlight w:val="none"/>
              </w:rPr>
            </w:pPr>
            <w:r>
              <w:rPr>
                <w:rFonts w:ascii="仿宋_GB2312" w:hAnsi="仿宋_GB2312" w:eastAsia="仿宋_GB2312" w:cs="仿宋_GB2312"/>
                <w:highlight w:val="none"/>
              </w:rPr>
              <w:t>否</w:t>
            </w:r>
          </w:p>
        </w:tc>
        <w:tc>
          <w:tcPr>
            <w:tcW w:w="831" w:type="dxa"/>
            <w:noWrap w:val="0"/>
            <w:vAlign w:val="top"/>
          </w:tcPr>
          <w:p w14:paraId="44BA2B3A">
            <w:pPr>
              <w:pStyle w:val="5"/>
              <w:rPr>
                <w:highlight w:val="none"/>
              </w:rPr>
            </w:pPr>
            <w:r>
              <w:rPr>
                <w:rFonts w:ascii="仿宋_GB2312" w:hAnsi="仿宋_GB2312" w:eastAsia="仿宋_GB2312" w:cs="仿宋_GB2312"/>
                <w:highlight w:val="none"/>
              </w:rPr>
              <w:t>否</w:t>
            </w:r>
          </w:p>
        </w:tc>
        <w:tc>
          <w:tcPr>
            <w:tcW w:w="831" w:type="dxa"/>
            <w:noWrap w:val="0"/>
            <w:vAlign w:val="top"/>
          </w:tcPr>
          <w:p w14:paraId="322EBD98">
            <w:pPr>
              <w:pStyle w:val="5"/>
              <w:rPr>
                <w:highlight w:val="none"/>
              </w:rPr>
            </w:pPr>
            <w:r>
              <w:rPr>
                <w:rFonts w:ascii="仿宋_GB2312" w:hAnsi="仿宋_GB2312" w:eastAsia="仿宋_GB2312" w:cs="仿宋_GB2312"/>
                <w:highlight w:val="none"/>
              </w:rPr>
              <w:t>否</w:t>
            </w:r>
          </w:p>
        </w:tc>
        <w:tc>
          <w:tcPr>
            <w:tcW w:w="831" w:type="dxa"/>
            <w:noWrap w:val="0"/>
            <w:vAlign w:val="top"/>
          </w:tcPr>
          <w:p w14:paraId="2B2DA789">
            <w:pPr>
              <w:pStyle w:val="5"/>
              <w:rPr>
                <w:highlight w:val="none"/>
              </w:rPr>
            </w:pPr>
            <w:r>
              <w:rPr>
                <w:rFonts w:ascii="仿宋_GB2312" w:hAnsi="仿宋_GB2312" w:eastAsia="仿宋_GB2312" w:cs="仿宋_GB2312"/>
                <w:highlight w:val="none"/>
              </w:rPr>
              <w:t>否</w:t>
            </w:r>
          </w:p>
        </w:tc>
      </w:tr>
    </w:tbl>
    <w:p w14:paraId="772FA419">
      <w:pPr>
        <w:pStyle w:val="5"/>
        <w:outlineLvl w:val="2"/>
        <w:rPr>
          <w:highlight w:val="none"/>
        </w:rPr>
      </w:pPr>
      <w:r>
        <w:rPr>
          <w:rFonts w:ascii="仿宋_GB2312" w:hAnsi="仿宋_GB2312" w:eastAsia="仿宋_GB2312" w:cs="仿宋_GB2312"/>
          <w:b/>
          <w:sz w:val="28"/>
          <w:highlight w:val="none"/>
        </w:rPr>
        <w:t>3.2.2服务要求</w:t>
      </w:r>
    </w:p>
    <w:p w14:paraId="5ACFD61D">
      <w:pPr>
        <w:pStyle w:val="5"/>
        <w:rPr>
          <w:highlight w:val="none"/>
        </w:rPr>
      </w:pPr>
      <w:r>
        <w:rPr>
          <w:rFonts w:ascii="仿宋_GB2312" w:hAnsi="仿宋_GB2312" w:eastAsia="仿宋_GB2312" w:cs="仿宋_GB2312"/>
          <w:highlight w:val="none"/>
        </w:rPr>
        <w:t>采购包1：</w:t>
      </w:r>
    </w:p>
    <w:p w14:paraId="1EA486E3">
      <w:pPr>
        <w:pStyle w:val="5"/>
        <w:rPr>
          <w:rFonts w:hint="eastAsia" w:eastAsia="仿宋_GB2312"/>
          <w:highlight w:val="none"/>
          <w:lang w:eastAsia="zh-CN"/>
        </w:rPr>
      </w:pPr>
      <w:r>
        <w:rPr>
          <w:rFonts w:ascii="仿宋_GB2312" w:hAnsi="仿宋_GB2312" w:eastAsia="仿宋_GB2312" w:cs="仿宋_GB2312"/>
          <w:highlight w:val="none"/>
        </w:rPr>
        <w:t>标的名称：</w:t>
      </w:r>
      <w:r>
        <w:rPr>
          <w:rFonts w:hint="eastAsia" w:ascii="仿宋_GB2312" w:hAnsi="仿宋_GB2312" w:eastAsia="仿宋_GB2312" w:cs="仿宋_GB2312"/>
          <w:highlight w:val="none"/>
          <w:lang w:eastAsia="zh-CN"/>
        </w:rPr>
        <w:t>水电设备设施运行运维服务</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75"/>
        <w:gridCol w:w="637"/>
        <w:gridCol w:w="7864"/>
      </w:tblGrid>
      <w:tr w14:paraId="75C0F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blHeader/>
        </w:trPr>
        <w:tc>
          <w:tcPr>
            <w:tcW w:w="675" w:type="dxa"/>
            <w:noWrap w:val="0"/>
            <w:vAlign w:val="center"/>
          </w:tcPr>
          <w:p w14:paraId="109AF492">
            <w:pPr>
              <w:pStyle w:val="5"/>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序号</w:t>
            </w:r>
          </w:p>
        </w:tc>
        <w:tc>
          <w:tcPr>
            <w:tcW w:w="637" w:type="dxa"/>
            <w:noWrap w:val="0"/>
            <w:vAlign w:val="top"/>
          </w:tcPr>
          <w:p w14:paraId="1F35DED4">
            <w:pPr>
              <w:pStyle w:val="5"/>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参数性质</w:t>
            </w:r>
          </w:p>
        </w:tc>
        <w:tc>
          <w:tcPr>
            <w:tcW w:w="7864" w:type="dxa"/>
            <w:noWrap w:val="0"/>
            <w:vAlign w:val="center"/>
          </w:tcPr>
          <w:p w14:paraId="59C58FDF">
            <w:pPr>
              <w:pStyle w:val="5"/>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技术参数与性能指标</w:t>
            </w:r>
          </w:p>
        </w:tc>
      </w:tr>
      <w:tr w14:paraId="69B8E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5" w:type="dxa"/>
            <w:noWrap w:val="0"/>
            <w:vAlign w:val="center"/>
          </w:tcPr>
          <w:p w14:paraId="4D3D6F9E">
            <w:pPr>
              <w:pStyle w:val="5"/>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1</w:t>
            </w:r>
          </w:p>
        </w:tc>
        <w:tc>
          <w:tcPr>
            <w:tcW w:w="637" w:type="dxa"/>
            <w:noWrap w:val="0"/>
            <w:vAlign w:val="top"/>
          </w:tcPr>
          <w:p w14:paraId="44E24FE2">
            <w:pPr>
              <w:rPr>
                <w:rFonts w:hint="eastAsia" w:ascii="仿宋" w:hAnsi="仿宋" w:eastAsia="仿宋" w:cs="仿宋"/>
                <w:sz w:val="21"/>
                <w:szCs w:val="21"/>
                <w:highlight w:val="none"/>
              </w:rPr>
            </w:pPr>
          </w:p>
        </w:tc>
        <w:tc>
          <w:tcPr>
            <w:tcW w:w="7864" w:type="dxa"/>
            <w:noWrap w:val="0"/>
            <w:vAlign w:val="top"/>
          </w:tcPr>
          <w:p w14:paraId="097DB8A4">
            <w:pPr>
              <w:pStyle w:val="5"/>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一、项目概况</w:t>
            </w:r>
          </w:p>
          <w:p w14:paraId="4EC56A00">
            <w:pPr>
              <w:pStyle w:val="5"/>
              <w:ind w:firstLine="420" w:firstLineChars="200"/>
              <w:jc w:val="left"/>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1.</w:t>
            </w:r>
            <w:r>
              <w:rPr>
                <w:rFonts w:hint="eastAsia" w:ascii="仿宋" w:hAnsi="仿宋" w:eastAsia="仿宋" w:cs="仿宋"/>
                <w:sz w:val="21"/>
                <w:szCs w:val="21"/>
                <w:highlight w:val="none"/>
              </w:rPr>
              <w:t>西安市长安区医院的水电设施的日常运行维保、维修和管理（除特殊情况 365天24小时方式运行），包括全院建筑内外的水电设施、全院所有科室中心建筑内外的水电设施。具体如下：电力系统，高压、低压、强电系统的维保</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配电室的维保；发电机维护保养；紧急停电时保证重点科室正常用电，全院给排水系统维修保养</w:t>
            </w:r>
            <w:r>
              <w:rPr>
                <w:rFonts w:hint="eastAsia" w:ascii="仿宋" w:hAnsi="仿宋" w:eastAsia="仿宋" w:cs="仿宋"/>
                <w:sz w:val="21"/>
                <w:szCs w:val="21"/>
                <w:highlight w:val="none"/>
                <w:lang w:eastAsia="zh-CN"/>
              </w:rPr>
              <w:t>，突发故障维修处理，零星改造工程，</w:t>
            </w:r>
            <w:r>
              <w:rPr>
                <w:rFonts w:hint="eastAsia" w:ascii="仿宋" w:hAnsi="仿宋" w:eastAsia="仿宋" w:cs="仿宋"/>
                <w:sz w:val="21"/>
                <w:szCs w:val="21"/>
                <w:highlight w:val="none"/>
              </w:rPr>
              <w:t>资料整理建档</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按规范要求做好水电设施月度、季度、年度的维护保养工作</w:t>
            </w:r>
            <w:r>
              <w:rPr>
                <w:rFonts w:hint="eastAsia" w:ascii="仿宋" w:hAnsi="仿宋" w:eastAsia="仿宋" w:cs="仿宋"/>
                <w:sz w:val="21"/>
                <w:szCs w:val="21"/>
                <w:highlight w:val="none"/>
              </w:rPr>
              <w:t>。</w:t>
            </w:r>
          </w:p>
          <w:p w14:paraId="4AEF0ED5">
            <w:pPr>
              <w:pStyle w:val="5"/>
              <w:ind w:firstLine="420" w:firstLineChars="200"/>
              <w:jc w:val="left"/>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2.</w:t>
            </w:r>
            <w:r>
              <w:rPr>
                <w:rFonts w:hint="eastAsia" w:ascii="仿宋" w:hAnsi="仿宋" w:eastAsia="仿宋" w:cs="仿宋"/>
                <w:sz w:val="21"/>
                <w:szCs w:val="21"/>
                <w:highlight w:val="none"/>
              </w:rPr>
              <w:t>维保建筑范围包括:（1）门、急诊综合楼，综合住院楼（A座</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B座）</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（2）感染楼</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（3）合疗楼</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（4）监督所楼</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（5）地库</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负一层包括各个库房、洗衣房、泵房、餐厅、厨房、停车场等所有场所的水电设施维修保养）</w:t>
            </w:r>
          </w:p>
          <w:p w14:paraId="0DD32B8D">
            <w:pPr>
              <w:pStyle w:val="5"/>
              <w:ind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水电设施指包含但不限于供配电系统、照明系统（含室外）、给排水系统及采购方指定的工作范围。包括但不限于如下工作：系统总体运行维修及管理服务；处理异常及突发应急的服务；负责建立水电系统相关运行管理制度、操作规程、工作流程等；负责完成相应水电系统设备的技术、管理档案的建 立和更新；加强水电系统设施设备维保的服务技术和处理速度。采购方交办的各项工作任务。</w:t>
            </w:r>
          </w:p>
          <w:p w14:paraId="69338CCF">
            <w:pPr>
              <w:pStyle w:val="5"/>
              <w:ind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4.运维工作范围与责任：</w:t>
            </w:r>
          </w:p>
          <w:p w14:paraId="122F3B20">
            <w:pPr>
              <w:pStyle w:val="5"/>
              <w:ind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设备运行及现场管理，确保医院运行中水电设施正常运行。水电设施的日常操作与维护，负责水电机房（含开闭所、配电房、强电井、水泵房、屋面水箱等）设备和人员安全（不可抗拒因素除外），保持工作区域环境卫生清洁。负责异常及突发性事件的应急处理，负责向院方提供系统运维及设备情况各项数据和报表；协助采购方做好自来水的取样送样工作；配合采购方完成国家、省部、市级相关单位或院方上级部门的定期或临时检查等相关工作。</w:t>
            </w:r>
          </w:p>
          <w:p w14:paraId="34F7B7CF">
            <w:pPr>
              <w:pStyle w:val="5"/>
              <w:ind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一次性安排单间房新增、改造2个照明灯具（含线）和灯具更换，一次性安排单间房新增、改造3个开关和插座（含线）和开关、插座更换，采购方安排的马桶、大小便池、洗脸盆、拖把盆、洗涤池等洁具或配件更换（工作内容不含土建装饰部分），一次性安排给排水管道的管配件更换，长度不大于 4m 的管道安装（材料采购方购买或安排中标人购买）以上内容均属运行维保工作内容。</w:t>
            </w:r>
          </w:p>
          <w:p w14:paraId="697FC17B">
            <w:pPr>
              <w:pStyle w:val="5"/>
              <w:ind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水泵及控制系统、送配电设备及系统等专业设备的应急处理、查明原因提出解决方案、配合专业设备的维修及更换属于运行维保工作内容；专业设备的维修及更换不属于运行维保工作内容。</w:t>
            </w:r>
          </w:p>
          <w:p w14:paraId="1E09A571">
            <w:pPr>
              <w:pStyle w:val="5"/>
              <w:ind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运维过程中维修材料单价在500元以下含500元的由运维方承担（不含电线、开关、灯泡，龙头等常规耗材）单价在500元以上材料费，成交供应商向采购方提供报价，所报价格经采购方确认后，采购方优先选择成交供应商采买。操作及维护工具、保洁用具，运维办公设施及耗材，运维人员服装、劳保用品等由运维单位提供，包含在报价中。完成采购方交办的零星改造工程。2000元以内（含2000元）的水、电系统的布设，以及水电问题，维保方应积极完成，不得推诿。所需材料由采购方提供。</w:t>
            </w:r>
          </w:p>
          <w:p w14:paraId="3B18B3CF">
            <w:pPr>
              <w:pStyle w:val="5"/>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二、服务内容</w:t>
            </w:r>
          </w:p>
          <w:p w14:paraId="1BE113C6">
            <w:pPr>
              <w:pStyle w:val="5"/>
              <w:ind w:firstLine="210" w:firstLineChars="1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1.总体要求</w:t>
            </w:r>
          </w:p>
          <w:p w14:paraId="4001CF6C">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1.1.全天24小时对采购方院区内外的电力系统、照明系统、给排水系统进行维护与巡查，保障相应设施和设备的正常运行，及时发现、排除系统隐患与异常情况，预防各类系统故障的发生。</w:t>
            </w:r>
          </w:p>
          <w:p w14:paraId="44941FAC">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1.2.建立完善的各项应急处理方案， 以书面的形式报采购方备案，确保各类应急故障事件得到快速、妥善处理。</w:t>
            </w:r>
          </w:p>
          <w:p w14:paraId="35B35787">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1.3.建立完善的管理制度，服从采购方管理，遵守采购方的规章制度。</w:t>
            </w:r>
          </w:p>
          <w:p w14:paraId="14167452">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1.4.根据项目特点实施管理，并自备维护、劳保、办公等用具用品。</w:t>
            </w:r>
          </w:p>
          <w:p w14:paraId="74B8A345">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1.5.处理日常临床的报障并做好记录及跟踪台账。当接到采购方的报障通知，须及时赶赴报障地点处理，不得以任何理由延误处理时间。</w:t>
            </w:r>
          </w:p>
          <w:p w14:paraId="5A30C2E0">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1.6.每天巡查各个系统的运行情况，记录好各区域的运行参数，并作好相应的巡视记录，发现无法解决的问题及时汇报采购方，并提出解决方案。</w:t>
            </w:r>
          </w:p>
          <w:p w14:paraId="74E06A1B">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1.7.填写好日常运行记录、报障记录及交接班记录,并做好台账工作。</w:t>
            </w:r>
          </w:p>
          <w:p w14:paraId="261D4F88">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1.8.做好院内高、低压配电柜、配电箱、水泵、水箱等水电设备设施进行设备建档工作。</w:t>
            </w:r>
          </w:p>
          <w:p w14:paraId="0601B3C2">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1.9.做好院内各区域安全用电巡检、外包单位规范用电管理工作，发现问题立即处理并向采购方汇报。</w:t>
            </w:r>
          </w:p>
          <w:p w14:paraId="1C3172CC">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2.电力系统</w:t>
            </w:r>
          </w:p>
          <w:p w14:paraId="1E3B9162">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2.1.高压配电室维保内容</w:t>
            </w:r>
          </w:p>
          <w:tbl>
            <w:tblPr>
              <w:tblStyle w:val="3"/>
              <w:tblW w:w="72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28"/>
              <w:gridCol w:w="675"/>
              <w:gridCol w:w="842"/>
              <w:gridCol w:w="4"/>
              <w:gridCol w:w="300"/>
              <w:gridCol w:w="386"/>
              <w:gridCol w:w="1539"/>
              <w:gridCol w:w="640"/>
              <w:gridCol w:w="2235"/>
              <w:gridCol w:w="8"/>
            </w:tblGrid>
            <w:tr w14:paraId="44D9C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555" w:hRule="atLeast"/>
                <w:jc w:val="center"/>
              </w:trPr>
              <w:tc>
                <w:tcPr>
                  <w:tcW w:w="628" w:type="dxa"/>
                  <w:tcBorders>
                    <w:tl2br w:val="nil"/>
                    <w:tr2bl w:val="nil"/>
                  </w:tcBorders>
                  <w:noWrap w:val="0"/>
                  <w:vAlign w:val="center"/>
                </w:tcPr>
                <w:p w14:paraId="474AAE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序号</w:t>
                  </w:r>
                </w:p>
              </w:tc>
              <w:tc>
                <w:tcPr>
                  <w:tcW w:w="675" w:type="dxa"/>
                  <w:tcBorders>
                    <w:tl2br w:val="nil"/>
                    <w:tr2bl w:val="nil"/>
                  </w:tcBorders>
                  <w:noWrap w:val="0"/>
                  <w:vAlign w:val="center"/>
                </w:tcPr>
                <w:p w14:paraId="151D67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设备名称</w:t>
                  </w:r>
                </w:p>
              </w:tc>
              <w:tc>
                <w:tcPr>
                  <w:tcW w:w="3071" w:type="dxa"/>
                  <w:gridSpan w:val="5"/>
                  <w:tcBorders>
                    <w:tl2br w:val="nil"/>
                    <w:tr2bl w:val="nil"/>
                  </w:tcBorders>
                  <w:noWrap w:val="0"/>
                  <w:vAlign w:val="center"/>
                </w:tcPr>
                <w:p w14:paraId="730981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工作项目</w:t>
                  </w:r>
                </w:p>
              </w:tc>
              <w:tc>
                <w:tcPr>
                  <w:tcW w:w="640" w:type="dxa"/>
                  <w:tcBorders>
                    <w:tl2br w:val="nil"/>
                    <w:tr2bl w:val="nil"/>
                  </w:tcBorders>
                  <w:noWrap w:val="0"/>
                  <w:vAlign w:val="center"/>
                </w:tcPr>
                <w:p w14:paraId="7B91CE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周期</w:t>
                  </w:r>
                </w:p>
              </w:tc>
              <w:tc>
                <w:tcPr>
                  <w:tcW w:w="2235" w:type="dxa"/>
                  <w:tcBorders>
                    <w:tl2br w:val="nil"/>
                    <w:tr2bl w:val="nil"/>
                  </w:tcBorders>
                  <w:noWrap w:val="0"/>
                  <w:vAlign w:val="center"/>
                </w:tcPr>
                <w:p w14:paraId="51D936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要求</w:t>
                  </w:r>
                </w:p>
              </w:tc>
            </w:tr>
            <w:tr w14:paraId="28E07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944" w:hRule="atLeast"/>
                <w:jc w:val="center"/>
              </w:trPr>
              <w:tc>
                <w:tcPr>
                  <w:tcW w:w="628" w:type="dxa"/>
                  <w:vMerge w:val="restart"/>
                  <w:tcBorders>
                    <w:tl2br w:val="nil"/>
                    <w:tr2bl w:val="nil"/>
                  </w:tcBorders>
                  <w:noWrap w:val="0"/>
                  <w:vAlign w:val="center"/>
                </w:tcPr>
                <w:p w14:paraId="5D8975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w:t>
                  </w:r>
                </w:p>
              </w:tc>
              <w:tc>
                <w:tcPr>
                  <w:tcW w:w="675" w:type="dxa"/>
                  <w:vMerge w:val="restart"/>
                  <w:tcBorders>
                    <w:tl2br w:val="nil"/>
                    <w:tr2bl w:val="nil"/>
                  </w:tcBorders>
                  <w:noWrap w:val="0"/>
                  <w:vAlign w:val="center"/>
                </w:tcPr>
                <w:p w14:paraId="545206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变 压 器</w:t>
                  </w:r>
                </w:p>
              </w:tc>
              <w:tc>
                <w:tcPr>
                  <w:tcW w:w="842" w:type="dxa"/>
                  <w:vMerge w:val="restart"/>
                  <w:tcBorders>
                    <w:tl2br w:val="nil"/>
                    <w:tr2bl w:val="nil"/>
                  </w:tcBorders>
                  <w:noWrap w:val="0"/>
                  <w:vAlign w:val="center"/>
                </w:tcPr>
                <w:p w14:paraId="01557EE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巡检</w:t>
                  </w:r>
                </w:p>
              </w:tc>
              <w:tc>
                <w:tcPr>
                  <w:tcW w:w="2229" w:type="dxa"/>
                  <w:gridSpan w:val="4"/>
                  <w:tcBorders>
                    <w:tl2br w:val="nil"/>
                    <w:tr2bl w:val="nil"/>
                  </w:tcBorders>
                  <w:noWrap w:val="0"/>
                  <w:vAlign w:val="center"/>
                </w:tcPr>
                <w:p w14:paraId="1CB871F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外观</w:t>
                  </w:r>
                </w:p>
              </w:tc>
              <w:tc>
                <w:tcPr>
                  <w:tcW w:w="640" w:type="dxa"/>
                  <w:tcBorders>
                    <w:tl2br w:val="nil"/>
                    <w:tr2bl w:val="nil"/>
                  </w:tcBorders>
                  <w:noWrap w:val="0"/>
                  <w:vAlign w:val="center"/>
                </w:tcPr>
                <w:p w14:paraId="6B9826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1079C7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绝缘子，绕组的底部和端部有无积尘，绕组绝缘子表面有无龟裂，爬电和碳化痕迹</w:t>
                  </w:r>
                </w:p>
              </w:tc>
            </w:tr>
            <w:tr w14:paraId="515FF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11" w:hRule="atLeast"/>
                <w:jc w:val="center"/>
              </w:trPr>
              <w:tc>
                <w:tcPr>
                  <w:tcW w:w="628" w:type="dxa"/>
                  <w:vMerge w:val="continue"/>
                  <w:tcBorders>
                    <w:tl2br w:val="nil"/>
                    <w:tr2bl w:val="nil"/>
                  </w:tcBorders>
                  <w:noWrap w:val="0"/>
                  <w:vAlign w:val="center"/>
                </w:tcPr>
                <w:p w14:paraId="6371D65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CC7390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24870F2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1BC35F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绕组温度</w:t>
                  </w:r>
                </w:p>
              </w:tc>
              <w:tc>
                <w:tcPr>
                  <w:tcW w:w="640" w:type="dxa"/>
                  <w:tcBorders>
                    <w:tl2br w:val="nil"/>
                    <w:tr2bl w:val="nil"/>
                  </w:tcBorders>
                  <w:noWrap w:val="0"/>
                  <w:vAlign w:val="center"/>
                </w:tcPr>
                <w:p w14:paraId="5F9BC7E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70AAB7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绕组温度，环境温度</w:t>
                  </w:r>
                </w:p>
              </w:tc>
            </w:tr>
            <w:tr w14:paraId="0121F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46" w:hRule="atLeast"/>
                <w:jc w:val="center"/>
              </w:trPr>
              <w:tc>
                <w:tcPr>
                  <w:tcW w:w="628" w:type="dxa"/>
                  <w:vMerge w:val="continue"/>
                  <w:tcBorders>
                    <w:tl2br w:val="nil"/>
                    <w:tr2bl w:val="nil"/>
                  </w:tcBorders>
                  <w:noWrap w:val="0"/>
                  <w:vAlign w:val="center"/>
                </w:tcPr>
                <w:p w14:paraId="63654A2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A708B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A3B47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3DDDFB6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声响及振动</w:t>
                  </w:r>
                </w:p>
              </w:tc>
              <w:tc>
                <w:tcPr>
                  <w:tcW w:w="640" w:type="dxa"/>
                  <w:tcBorders>
                    <w:tl2br w:val="nil"/>
                    <w:tr2bl w:val="nil"/>
                  </w:tcBorders>
                  <w:noWrap w:val="0"/>
                  <w:vAlign w:val="center"/>
                </w:tcPr>
                <w:p w14:paraId="7C52A7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149774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无异常</w:t>
                  </w:r>
                </w:p>
              </w:tc>
            </w:tr>
            <w:tr w14:paraId="5F0E4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68" w:hRule="atLeast"/>
                <w:jc w:val="center"/>
              </w:trPr>
              <w:tc>
                <w:tcPr>
                  <w:tcW w:w="628" w:type="dxa"/>
                  <w:vMerge w:val="continue"/>
                  <w:tcBorders>
                    <w:tl2br w:val="nil"/>
                    <w:tr2bl w:val="nil"/>
                  </w:tcBorders>
                  <w:noWrap w:val="0"/>
                  <w:vAlign w:val="center"/>
                </w:tcPr>
                <w:p w14:paraId="104254F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3DAEAA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311D5E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6604E85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接地引线检查</w:t>
                  </w:r>
                </w:p>
              </w:tc>
              <w:tc>
                <w:tcPr>
                  <w:tcW w:w="640" w:type="dxa"/>
                  <w:tcBorders>
                    <w:tl2br w:val="nil"/>
                    <w:tr2bl w:val="nil"/>
                  </w:tcBorders>
                  <w:noWrap w:val="0"/>
                  <w:vAlign w:val="center"/>
                </w:tcPr>
                <w:p w14:paraId="300DC0E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1C5E65A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无松脱、断裂及严重腐蚀</w:t>
                  </w:r>
                </w:p>
              </w:tc>
            </w:tr>
            <w:tr w14:paraId="7EEDF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68" w:hRule="atLeast"/>
                <w:jc w:val="center"/>
              </w:trPr>
              <w:tc>
                <w:tcPr>
                  <w:tcW w:w="628" w:type="dxa"/>
                  <w:vMerge w:val="continue"/>
                  <w:tcBorders>
                    <w:tl2br w:val="nil"/>
                    <w:tr2bl w:val="nil"/>
                  </w:tcBorders>
                  <w:noWrap w:val="0"/>
                  <w:vAlign w:val="center"/>
                </w:tcPr>
                <w:p w14:paraId="494EF7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258769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018EB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732D09C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红外测温</w:t>
                  </w:r>
                </w:p>
              </w:tc>
              <w:tc>
                <w:tcPr>
                  <w:tcW w:w="640" w:type="dxa"/>
                  <w:tcBorders>
                    <w:tl2br w:val="nil"/>
                    <w:tr2bl w:val="nil"/>
                  </w:tcBorders>
                  <w:noWrap w:val="0"/>
                  <w:vAlign w:val="center"/>
                </w:tcPr>
                <w:p w14:paraId="12F20F4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1CF145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无异常温差、温升</w:t>
                  </w:r>
                </w:p>
              </w:tc>
            </w:tr>
            <w:tr w14:paraId="42C4C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20" w:hRule="atLeast"/>
                <w:jc w:val="center"/>
              </w:trPr>
              <w:tc>
                <w:tcPr>
                  <w:tcW w:w="628" w:type="dxa"/>
                  <w:vMerge w:val="continue"/>
                  <w:tcBorders>
                    <w:tl2br w:val="nil"/>
                    <w:tr2bl w:val="nil"/>
                  </w:tcBorders>
                  <w:noWrap w:val="0"/>
                  <w:vAlign w:val="center"/>
                </w:tcPr>
                <w:p w14:paraId="3397987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8818C2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5361F6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02C586D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冷却风机</w:t>
                  </w:r>
                </w:p>
              </w:tc>
              <w:tc>
                <w:tcPr>
                  <w:tcW w:w="640" w:type="dxa"/>
                  <w:tcBorders>
                    <w:tl2br w:val="nil"/>
                    <w:tr2bl w:val="nil"/>
                  </w:tcBorders>
                  <w:noWrap w:val="0"/>
                  <w:vAlign w:val="center"/>
                </w:tcPr>
                <w:p w14:paraId="55DD24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09C4581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风机运行正常、无异响</w:t>
                  </w:r>
                </w:p>
              </w:tc>
            </w:tr>
            <w:tr w14:paraId="76A71A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20" w:hRule="atLeast"/>
                <w:jc w:val="center"/>
              </w:trPr>
              <w:tc>
                <w:tcPr>
                  <w:tcW w:w="628" w:type="dxa"/>
                  <w:vMerge w:val="continue"/>
                  <w:tcBorders>
                    <w:tl2br w:val="nil"/>
                    <w:tr2bl w:val="nil"/>
                  </w:tcBorders>
                  <w:noWrap w:val="0"/>
                  <w:vAlign w:val="center"/>
                </w:tcPr>
                <w:p w14:paraId="2B4CBE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D53F41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BF0E4A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1A62B0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低压侧母排</w:t>
                  </w:r>
                </w:p>
              </w:tc>
              <w:tc>
                <w:tcPr>
                  <w:tcW w:w="640" w:type="dxa"/>
                  <w:tcBorders>
                    <w:tl2br w:val="nil"/>
                    <w:tr2bl w:val="nil"/>
                  </w:tcBorders>
                  <w:noWrap w:val="0"/>
                  <w:vAlign w:val="center"/>
                </w:tcPr>
                <w:p w14:paraId="343205B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7677B5C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连接螺栓无松动，母排无变色</w:t>
                  </w:r>
                </w:p>
              </w:tc>
            </w:tr>
            <w:tr w14:paraId="474FA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44" w:hRule="atLeast"/>
                <w:jc w:val="center"/>
              </w:trPr>
              <w:tc>
                <w:tcPr>
                  <w:tcW w:w="628" w:type="dxa"/>
                  <w:vMerge w:val="continue"/>
                  <w:tcBorders>
                    <w:tl2br w:val="nil"/>
                    <w:tr2bl w:val="nil"/>
                  </w:tcBorders>
                  <w:noWrap w:val="0"/>
                  <w:vAlign w:val="center"/>
                </w:tcPr>
                <w:p w14:paraId="7E33DC6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6164E3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22A49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6F1E7D2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高压侧电缆头</w:t>
                  </w:r>
                </w:p>
              </w:tc>
              <w:tc>
                <w:tcPr>
                  <w:tcW w:w="640" w:type="dxa"/>
                  <w:tcBorders>
                    <w:tl2br w:val="nil"/>
                    <w:tr2bl w:val="nil"/>
                  </w:tcBorders>
                  <w:noWrap w:val="0"/>
                  <w:vAlign w:val="center"/>
                </w:tcPr>
                <w:p w14:paraId="5CE0C61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2BDB37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连接牢靠，无放电爬电现象</w:t>
                  </w:r>
                </w:p>
              </w:tc>
            </w:tr>
            <w:tr w14:paraId="0CD71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56" w:hRule="atLeast"/>
                <w:jc w:val="center"/>
              </w:trPr>
              <w:tc>
                <w:tcPr>
                  <w:tcW w:w="628" w:type="dxa"/>
                  <w:vMerge w:val="continue"/>
                  <w:tcBorders>
                    <w:tl2br w:val="nil"/>
                    <w:tr2bl w:val="nil"/>
                  </w:tcBorders>
                  <w:noWrap w:val="0"/>
                  <w:vAlign w:val="center"/>
                </w:tcPr>
                <w:p w14:paraId="058E10E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46E02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2994FA0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7CA9A4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分接头螺栓温度</w:t>
                  </w:r>
                </w:p>
              </w:tc>
              <w:tc>
                <w:tcPr>
                  <w:tcW w:w="640" w:type="dxa"/>
                  <w:tcBorders>
                    <w:tl2br w:val="nil"/>
                    <w:tr2bl w:val="nil"/>
                  </w:tcBorders>
                  <w:noWrap w:val="0"/>
                  <w:vAlign w:val="center"/>
                </w:tcPr>
                <w:p w14:paraId="5444690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7D9994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无异常</w:t>
                  </w:r>
                </w:p>
              </w:tc>
            </w:tr>
            <w:tr w14:paraId="1AB621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672" w:hRule="atLeast"/>
                <w:jc w:val="center"/>
              </w:trPr>
              <w:tc>
                <w:tcPr>
                  <w:tcW w:w="628" w:type="dxa"/>
                  <w:vMerge w:val="continue"/>
                  <w:tcBorders>
                    <w:tl2br w:val="nil"/>
                    <w:tr2bl w:val="nil"/>
                  </w:tcBorders>
                  <w:noWrap w:val="0"/>
                  <w:vAlign w:val="center"/>
                </w:tcPr>
                <w:p w14:paraId="267664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E31FAD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tcBorders>
                    <w:tl2br w:val="nil"/>
                    <w:tr2bl w:val="nil"/>
                  </w:tcBorders>
                  <w:noWrap w:val="0"/>
                  <w:vAlign w:val="center"/>
                </w:tcPr>
                <w:p w14:paraId="63AF6AA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有损预防性试验</w:t>
                  </w:r>
                </w:p>
              </w:tc>
              <w:tc>
                <w:tcPr>
                  <w:tcW w:w="2229" w:type="dxa"/>
                  <w:gridSpan w:val="4"/>
                  <w:tcBorders>
                    <w:tl2br w:val="nil"/>
                    <w:tr2bl w:val="nil"/>
                  </w:tcBorders>
                  <w:noWrap w:val="0"/>
                  <w:vAlign w:val="center"/>
                </w:tcPr>
                <w:p w14:paraId="233F28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工频耐压试验</w:t>
                  </w:r>
                </w:p>
              </w:tc>
              <w:tc>
                <w:tcPr>
                  <w:tcW w:w="640" w:type="dxa"/>
                  <w:tcBorders>
                    <w:tl2br w:val="nil"/>
                    <w:tr2bl w:val="nil"/>
                  </w:tcBorders>
                  <w:noWrap w:val="0"/>
                  <w:vAlign w:val="center"/>
                </w:tcPr>
                <w:p w14:paraId="31FC761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82557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无异常</w:t>
                  </w:r>
                </w:p>
              </w:tc>
            </w:tr>
            <w:tr w14:paraId="34494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49" w:hRule="atLeast"/>
                <w:jc w:val="center"/>
              </w:trPr>
              <w:tc>
                <w:tcPr>
                  <w:tcW w:w="628" w:type="dxa"/>
                  <w:vMerge w:val="continue"/>
                  <w:tcBorders>
                    <w:tl2br w:val="nil"/>
                    <w:tr2bl w:val="nil"/>
                  </w:tcBorders>
                  <w:noWrap w:val="0"/>
                  <w:vAlign w:val="center"/>
                </w:tcPr>
                <w:p w14:paraId="7FA37DB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0EAC34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restart"/>
                  <w:tcBorders>
                    <w:tl2br w:val="nil"/>
                    <w:tr2bl w:val="nil"/>
                  </w:tcBorders>
                  <w:noWrap w:val="0"/>
                  <w:vAlign w:val="center"/>
                </w:tcPr>
                <w:p w14:paraId="457334D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无损预防性试验</w:t>
                  </w:r>
                </w:p>
              </w:tc>
              <w:tc>
                <w:tcPr>
                  <w:tcW w:w="2229" w:type="dxa"/>
                  <w:gridSpan w:val="4"/>
                  <w:tcBorders>
                    <w:tl2br w:val="nil"/>
                    <w:tr2bl w:val="nil"/>
                  </w:tcBorders>
                  <w:noWrap w:val="0"/>
                  <w:vAlign w:val="center"/>
                </w:tcPr>
                <w:p w14:paraId="33173B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温度保护传跳</w:t>
                  </w:r>
                </w:p>
              </w:tc>
              <w:tc>
                <w:tcPr>
                  <w:tcW w:w="640" w:type="dxa"/>
                  <w:tcBorders>
                    <w:tl2br w:val="nil"/>
                    <w:tr2bl w:val="nil"/>
                  </w:tcBorders>
                  <w:noWrap w:val="0"/>
                  <w:vAlign w:val="center"/>
                </w:tcPr>
                <w:p w14:paraId="609EBB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71280F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传动正常</w:t>
                  </w:r>
                </w:p>
              </w:tc>
            </w:tr>
            <w:tr w14:paraId="1735C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46" w:hRule="atLeast"/>
                <w:jc w:val="center"/>
              </w:trPr>
              <w:tc>
                <w:tcPr>
                  <w:tcW w:w="628" w:type="dxa"/>
                  <w:vMerge w:val="continue"/>
                  <w:tcBorders>
                    <w:tl2br w:val="nil"/>
                    <w:tr2bl w:val="nil"/>
                  </w:tcBorders>
                  <w:noWrap w:val="0"/>
                  <w:vAlign w:val="center"/>
                </w:tcPr>
                <w:p w14:paraId="4373205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6DBECB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930EE3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3288E0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铁芯绝缘电阻</w:t>
                  </w:r>
                </w:p>
              </w:tc>
              <w:tc>
                <w:tcPr>
                  <w:tcW w:w="640" w:type="dxa"/>
                  <w:tcBorders>
                    <w:tl2br w:val="nil"/>
                    <w:tr2bl w:val="nil"/>
                  </w:tcBorders>
                  <w:noWrap w:val="0"/>
                  <w:vAlign w:val="center"/>
                </w:tcPr>
                <w:p w14:paraId="566D45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503D4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≥100Ω</w:t>
                  </w:r>
                </w:p>
              </w:tc>
            </w:tr>
            <w:tr w14:paraId="10376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662" w:hRule="atLeast"/>
                <w:jc w:val="center"/>
              </w:trPr>
              <w:tc>
                <w:tcPr>
                  <w:tcW w:w="628" w:type="dxa"/>
                  <w:vMerge w:val="continue"/>
                  <w:tcBorders>
                    <w:tl2br w:val="nil"/>
                    <w:tr2bl w:val="nil"/>
                  </w:tcBorders>
                  <w:noWrap w:val="0"/>
                  <w:vAlign w:val="center"/>
                </w:tcPr>
                <w:p w14:paraId="7C415B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64A3AA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65E098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08668E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绕组直流电阻、</w:t>
                  </w:r>
                </w:p>
              </w:tc>
              <w:tc>
                <w:tcPr>
                  <w:tcW w:w="640" w:type="dxa"/>
                  <w:tcBorders>
                    <w:tl2br w:val="nil"/>
                    <w:tr2bl w:val="nil"/>
                  </w:tcBorders>
                  <w:noWrap w:val="0"/>
                  <w:vAlign w:val="center"/>
                </w:tcPr>
                <w:p w14:paraId="0CF25D2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8A2DA7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相差不大于2%，同相初值差不大于±2%</w:t>
                  </w:r>
                </w:p>
              </w:tc>
            </w:tr>
            <w:tr w14:paraId="02827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71" w:hRule="atLeast"/>
                <w:jc w:val="center"/>
              </w:trPr>
              <w:tc>
                <w:tcPr>
                  <w:tcW w:w="628" w:type="dxa"/>
                  <w:vMerge w:val="continue"/>
                  <w:tcBorders>
                    <w:tl2br w:val="nil"/>
                    <w:tr2bl w:val="nil"/>
                  </w:tcBorders>
                  <w:noWrap w:val="0"/>
                  <w:vAlign w:val="center"/>
                </w:tcPr>
                <w:p w14:paraId="1F04722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C111A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6F462A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017D10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绕组绝缘电阻</w:t>
                  </w:r>
                </w:p>
              </w:tc>
              <w:tc>
                <w:tcPr>
                  <w:tcW w:w="640" w:type="dxa"/>
                  <w:tcBorders>
                    <w:tl2br w:val="nil"/>
                    <w:tr2bl w:val="nil"/>
                  </w:tcBorders>
                  <w:noWrap w:val="0"/>
                  <w:vAlign w:val="center"/>
                </w:tcPr>
                <w:p w14:paraId="7BDA6B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7502B5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无显著下降</w:t>
                  </w:r>
                </w:p>
              </w:tc>
            </w:tr>
            <w:tr w14:paraId="2D01B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26" w:hRule="atLeast"/>
                <w:jc w:val="center"/>
              </w:trPr>
              <w:tc>
                <w:tcPr>
                  <w:tcW w:w="628" w:type="dxa"/>
                  <w:vMerge w:val="continue"/>
                  <w:tcBorders>
                    <w:tl2br w:val="nil"/>
                    <w:tr2bl w:val="nil"/>
                  </w:tcBorders>
                  <w:noWrap w:val="0"/>
                  <w:vAlign w:val="center"/>
                </w:tcPr>
                <w:p w14:paraId="606F32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3EB2F6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23064B0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1D5D46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测温装置检查</w:t>
                  </w:r>
                </w:p>
              </w:tc>
              <w:tc>
                <w:tcPr>
                  <w:tcW w:w="640" w:type="dxa"/>
                  <w:tcBorders>
                    <w:tl2br w:val="nil"/>
                    <w:tr2bl w:val="nil"/>
                  </w:tcBorders>
                  <w:noWrap w:val="0"/>
                  <w:vAlign w:val="center"/>
                </w:tcPr>
                <w:p w14:paraId="36090D2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C9CF9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外观功能完好，测量精准</w:t>
                  </w:r>
                </w:p>
              </w:tc>
            </w:tr>
            <w:tr w14:paraId="14CF4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46" w:hRule="atLeast"/>
                <w:jc w:val="center"/>
              </w:trPr>
              <w:tc>
                <w:tcPr>
                  <w:tcW w:w="628" w:type="dxa"/>
                  <w:vMerge w:val="continue"/>
                  <w:tcBorders>
                    <w:tl2br w:val="nil"/>
                    <w:tr2bl w:val="nil"/>
                  </w:tcBorders>
                  <w:noWrap w:val="0"/>
                  <w:vAlign w:val="center"/>
                </w:tcPr>
                <w:p w14:paraId="60A6DB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ECCA0A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22221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5F0567B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绕组各分接电压比</w:t>
                  </w:r>
                </w:p>
              </w:tc>
              <w:tc>
                <w:tcPr>
                  <w:tcW w:w="640" w:type="dxa"/>
                  <w:tcBorders>
                    <w:tl2br w:val="nil"/>
                    <w:tr2bl w:val="nil"/>
                  </w:tcBorders>
                  <w:noWrap w:val="0"/>
                  <w:vAlign w:val="center"/>
                </w:tcPr>
                <w:p w14:paraId="29ADAE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需要时</w:t>
                  </w:r>
                </w:p>
              </w:tc>
              <w:tc>
                <w:tcPr>
                  <w:tcW w:w="2235" w:type="dxa"/>
                  <w:tcBorders>
                    <w:tl2br w:val="nil"/>
                    <w:tr2bl w:val="nil"/>
                  </w:tcBorders>
                  <w:noWrap w:val="0"/>
                  <w:vAlign w:val="center"/>
                </w:tcPr>
                <w:p w14:paraId="6F5D8A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额定档初值差不超过±0.5%，±1.0%</w:t>
                  </w:r>
                </w:p>
              </w:tc>
            </w:tr>
            <w:tr w14:paraId="67718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54" w:hRule="atLeast"/>
                <w:jc w:val="center"/>
              </w:trPr>
              <w:tc>
                <w:tcPr>
                  <w:tcW w:w="628" w:type="dxa"/>
                  <w:vMerge w:val="continue"/>
                  <w:tcBorders>
                    <w:tl2br w:val="nil"/>
                    <w:tr2bl w:val="nil"/>
                  </w:tcBorders>
                  <w:noWrap w:val="0"/>
                  <w:vAlign w:val="center"/>
                </w:tcPr>
                <w:p w14:paraId="58D59B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B243C8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tcBorders>
                    <w:tl2br w:val="nil"/>
                    <w:tr2bl w:val="nil"/>
                  </w:tcBorders>
                  <w:noWrap w:val="0"/>
                  <w:vAlign w:val="center"/>
                </w:tcPr>
                <w:p w14:paraId="0F0FEC4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维护</w:t>
                  </w:r>
                </w:p>
              </w:tc>
              <w:tc>
                <w:tcPr>
                  <w:tcW w:w="2229" w:type="dxa"/>
                  <w:gridSpan w:val="4"/>
                  <w:tcBorders>
                    <w:tl2br w:val="nil"/>
                    <w:tr2bl w:val="nil"/>
                  </w:tcBorders>
                  <w:noWrap w:val="0"/>
                  <w:vAlign w:val="center"/>
                </w:tcPr>
                <w:p w14:paraId="124BC0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变压器内部灰尘的清理，高压侧电缆头螺栓紧固，低压侧母排螺栓紧固</w:t>
                  </w:r>
                </w:p>
              </w:tc>
              <w:tc>
                <w:tcPr>
                  <w:tcW w:w="640" w:type="dxa"/>
                  <w:tcBorders>
                    <w:tl2br w:val="nil"/>
                    <w:tr2bl w:val="nil"/>
                  </w:tcBorders>
                  <w:noWrap w:val="0"/>
                  <w:vAlign w:val="center"/>
                </w:tcPr>
                <w:p w14:paraId="6CA85A7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F2F90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卫生打扫干净，螺栓紧固无松动</w:t>
                  </w:r>
                </w:p>
              </w:tc>
            </w:tr>
            <w:tr w14:paraId="2622E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54" w:hRule="atLeast"/>
                <w:jc w:val="center"/>
              </w:trPr>
              <w:tc>
                <w:tcPr>
                  <w:tcW w:w="628" w:type="dxa"/>
                  <w:vMerge w:val="restart"/>
                  <w:tcBorders>
                    <w:tl2br w:val="nil"/>
                    <w:tr2bl w:val="nil"/>
                  </w:tcBorders>
                  <w:noWrap w:val="0"/>
                  <w:vAlign w:val="center"/>
                </w:tcPr>
                <w:p w14:paraId="441CEF0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2</w:t>
                  </w:r>
                </w:p>
              </w:tc>
              <w:tc>
                <w:tcPr>
                  <w:tcW w:w="675" w:type="dxa"/>
                  <w:vMerge w:val="restart"/>
                  <w:tcBorders>
                    <w:tl2br w:val="nil"/>
                    <w:tr2bl w:val="nil"/>
                  </w:tcBorders>
                  <w:noWrap w:val="0"/>
                  <w:vAlign w:val="center"/>
                </w:tcPr>
                <w:p w14:paraId="0C8ADA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高 压 柜</w:t>
                  </w:r>
                </w:p>
              </w:tc>
              <w:tc>
                <w:tcPr>
                  <w:tcW w:w="842" w:type="dxa"/>
                  <w:vMerge w:val="restart"/>
                  <w:tcBorders>
                    <w:tl2br w:val="nil"/>
                    <w:tr2bl w:val="nil"/>
                  </w:tcBorders>
                  <w:noWrap w:val="0"/>
                  <w:vAlign w:val="center"/>
                </w:tcPr>
                <w:p w14:paraId="0C89A9A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巡检</w:t>
                  </w:r>
                </w:p>
              </w:tc>
              <w:tc>
                <w:tcPr>
                  <w:tcW w:w="2229" w:type="dxa"/>
                  <w:gridSpan w:val="4"/>
                  <w:tcBorders>
                    <w:tl2br w:val="nil"/>
                    <w:tr2bl w:val="nil"/>
                  </w:tcBorders>
                  <w:noWrap w:val="0"/>
                  <w:vAlign w:val="center"/>
                </w:tcPr>
                <w:p w14:paraId="2D443FC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面板仪表检查，</w:t>
                  </w:r>
                </w:p>
              </w:tc>
              <w:tc>
                <w:tcPr>
                  <w:tcW w:w="640" w:type="dxa"/>
                  <w:tcBorders>
                    <w:tl2br w:val="nil"/>
                    <w:tr2bl w:val="nil"/>
                  </w:tcBorders>
                  <w:noWrap w:val="0"/>
                  <w:vAlign w:val="center"/>
                </w:tcPr>
                <w:p w14:paraId="16DF722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3580F5A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显示正常，测量精准</w:t>
                  </w:r>
                </w:p>
              </w:tc>
            </w:tr>
            <w:tr w14:paraId="5F6FC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2" w:hRule="atLeast"/>
                <w:jc w:val="center"/>
              </w:trPr>
              <w:tc>
                <w:tcPr>
                  <w:tcW w:w="628" w:type="dxa"/>
                  <w:vMerge w:val="continue"/>
                  <w:tcBorders>
                    <w:tl2br w:val="nil"/>
                    <w:tr2bl w:val="nil"/>
                  </w:tcBorders>
                  <w:noWrap w:val="0"/>
                  <w:vAlign w:val="center"/>
                </w:tcPr>
                <w:p w14:paraId="559AE82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E5B55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A0C584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5F3E1FC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信号指示灯检查</w:t>
                  </w:r>
                </w:p>
              </w:tc>
              <w:tc>
                <w:tcPr>
                  <w:tcW w:w="640" w:type="dxa"/>
                  <w:tcBorders>
                    <w:tl2br w:val="nil"/>
                    <w:tr2bl w:val="nil"/>
                  </w:tcBorders>
                  <w:noWrap w:val="0"/>
                  <w:vAlign w:val="center"/>
                </w:tcPr>
                <w:p w14:paraId="1FB54E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6380840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显示正常</w:t>
                  </w:r>
                </w:p>
              </w:tc>
            </w:tr>
            <w:tr w14:paraId="591EC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90" w:hRule="atLeast"/>
                <w:jc w:val="center"/>
              </w:trPr>
              <w:tc>
                <w:tcPr>
                  <w:tcW w:w="628" w:type="dxa"/>
                  <w:vMerge w:val="continue"/>
                  <w:tcBorders>
                    <w:tl2br w:val="nil"/>
                    <w:tr2bl w:val="nil"/>
                  </w:tcBorders>
                  <w:noWrap w:val="0"/>
                  <w:vAlign w:val="center"/>
                </w:tcPr>
                <w:p w14:paraId="5A2449E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20046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754DCE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1B2A42D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异常声音检查，</w:t>
                  </w:r>
                </w:p>
              </w:tc>
              <w:tc>
                <w:tcPr>
                  <w:tcW w:w="640" w:type="dxa"/>
                  <w:tcBorders>
                    <w:tl2br w:val="nil"/>
                    <w:tr2bl w:val="nil"/>
                  </w:tcBorders>
                  <w:noWrap w:val="0"/>
                  <w:vAlign w:val="center"/>
                </w:tcPr>
                <w:p w14:paraId="461ACD1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2DFCF75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无放电异常声响</w:t>
                  </w:r>
                </w:p>
              </w:tc>
            </w:tr>
            <w:tr w14:paraId="15AD9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87" w:hRule="atLeast"/>
                <w:jc w:val="center"/>
              </w:trPr>
              <w:tc>
                <w:tcPr>
                  <w:tcW w:w="628" w:type="dxa"/>
                  <w:vMerge w:val="continue"/>
                  <w:tcBorders>
                    <w:tl2br w:val="nil"/>
                    <w:tr2bl w:val="nil"/>
                  </w:tcBorders>
                  <w:noWrap w:val="0"/>
                  <w:vAlign w:val="center"/>
                </w:tcPr>
                <w:p w14:paraId="38CC68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A6CE8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4C95DD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10227FE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各柜状态显示检查</w:t>
                  </w:r>
                </w:p>
              </w:tc>
              <w:tc>
                <w:tcPr>
                  <w:tcW w:w="640" w:type="dxa"/>
                  <w:tcBorders>
                    <w:tl2br w:val="nil"/>
                    <w:tr2bl w:val="nil"/>
                  </w:tcBorders>
                  <w:noWrap w:val="0"/>
                  <w:vAlign w:val="center"/>
                </w:tcPr>
                <w:p w14:paraId="46553F5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6E2D6E4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显示与实际运行工况相符</w:t>
                  </w:r>
                </w:p>
              </w:tc>
            </w:tr>
            <w:tr w14:paraId="7EF6B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597" w:hRule="atLeast"/>
                <w:jc w:val="center"/>
              </w:trPr>
              <w:tc>
                <w:tcPr>
                  <w:tcW w:w="628" w:type="dxa"/>
                  <w:vMerge w:val="continue"/>
                  <w:tcBorders>
                    <w:tl2br w:val="nil"/>
                    <w:tr2bl w:val="nil"/>
                  </w:tcBorders>
                  <w:noWrap w:val="0"/>
                  <w:vAlign w:val="center"/>
                </w:tcPr>
                <w:p w14:paraId="7E6A8A8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EE246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5AC88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2EBA1EC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计量柜检查</w:t>
                  </w:r>
                </w:p>
              </w:tc>
              <w:tc>
                <w:tcPr>
                  <w:tcW w:w="640" w:type="dxa"/>
                  <w:tcBorders>
                    <w:tl2br w:val="nil"/>
                    <w:tr2bl w:val="nil"/>
                  </w:tcBorders>
                  <w:noWrap w:val="0"/>
                  <w:vAlign w:val="center"/>
                </w:tcPr>
                <w:p w14:paraId="04A964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643D55E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电压电流回路正常，电度表工作正常</w:t>
                  </w:r>
                </w:p>
              </w:tc>
            </w:tr>
            <w:tr w14:paraId="25245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166" w:hRule="atLeast"/>
                <w:jc w:val="center"/>
              </w:trPr>
              <w:tc>
                <w:tcPr>
                  <w:tcW w:w="628" w:type="dxa"/>
                  <w:vMerge w:val="continue"/>
                  <w:tcBorders>
                    <w:tl2br w:val="nil"/>
                    <w:tr2bl w:val="nil"/>
                  </w:tcBorders>
                  <w:noWrap w:val="0"/>
                  <w:vAlign w:val="center"/>
                </w:tcPr>
                <w:p w14:paraId="47D568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3137AC2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restart"/>
                  <w:tcBorders>
                    <w:tl2br w:val="nil"/>
                    <w:tr2bl w:val="nil"/>
                  </w:tcBorders>
                  <w:noWrap w:val="0"/>
                  <w:vAlign w:val="center"/>
                </w:tcPr>
                <w:p w14:paraId="51537E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维护</w:t>
                  </w:r>
                </w:p>
              </w:tc>
              <w:tc>
                <w:tcPr>
                  <w:tcW w:w="690" w:type="dxa"/>
                  <w:gridSpan w:val="3"/>
                  <w:vMerge w:val="restart"/>
                  <w:tcBorders>
                    <w:tl2br w:val="nil"/>
                    <w:tr2bl w:val="nil"/>
                  </w:tcBorders>
                  <w:noWrap w:val="0"/>
                  <w:vAlign w:val="center"/>
                </w:tcPr>
                <w:p w14:paraId="52E4323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一次</w:t>
                  </w:r>
                </w:p>
              </w:tc>
              <w:tc>
                <w:tcPr>
                  <w:tcW w:w="1539" w:type="dxa"/>
                  <w:tcBorders>
                    <w:tl2br w:val="nil"/>
                    <w:tr2bl w:val="nil"/>
                  </w:tcBorders>
                  <w:noWrap w:val="0"/>
                  <w:vAlign w:val="center"/>
                </w:tcPr>
                <w:p w14:paraId="3D607F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一次母线检查紧固；</w:t>
                  </w:r>
                </w:p>
              </w:tc>
              <w:tc>
                <w:tcPr>
                  <w:tcW w:w="640" w:type="dxa"/>
                  <w:tcBorders>
                    <w:tl2br w:val="nil"/>
                    <w:tr2bl w:val="nil"/>
                  </w:tcBorders>
                  <w:noWrap w:val="0"/>
                  <w:vAlign w:val="center"/>
                </w:tcPr>
                <w:p w14:paraId="4CF8F27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1F78F28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无松动，无发热现象</w:t>
                  </w:r>
                </w:p>
              </w:tc>
            </w:tr>
            <w:tr w14:paraId="66842E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44" w:hRule="atLeast"/>
                <w:jc w:val="center"/>
              </w:trPr>
              <w:tc>
                <w:tcPr>
                  <w:tcW w:w="628" w:type="dxa"/>
                  <w:vMerge w:val="continue"/>
                  <w:tcBorders>
                    <w:tl2br w:val="nil"/>
                    <w:tr2bl w:val="nil"/>
                  </w:tcBorders>
                  <w:noWrap w:val="0"/>
                  <w:vAlign w:val="center"/>
                </w:tcPr>
                <w:p w14:paraId="5CF94A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79EE1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99D8E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3765295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734295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绝缘支撑件检查紧固</w:t>
                  </w:r>
                </w:p>
              </w:tc>
              <w:tc>
                <w:tcPr>
                  <w:tcW w:w="640" w:type="dxa"/>
                  <w:tcBorders>
                    <w:tl2br w:val="nil"/>
                    <w:tr2bl w:val="nil"/>
                  </w:tcBorders>
                  <w:noWrap w:val="0"/>
                  <w:vAlign w:val="center"/>
                </w:tcPr>
                <w:p w14:paraId="184555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81483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支撑牢靠，无放电爬电现象</w:t>
                  </w:r>
                </w:p>
              </w:tc>
            </w:tr>
            <w:tr w14:paraId="02758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08" w:hRule="atLeast"/>
                <w:jc w:val="center"/>
              </w:trPr>
              <w:tc>
                <w:tcPr>
                  <w:tcW w:w="628" w:type="dxa"/>
                  <w:vMerge w:val="continue"/>
                  <w:tcBorders>
                    <w:tl2br w:val="nil"/>
                    <w:tr2bl w:val="nil"/>
                  </w:tcBorders>
                  <w:noWrap w:val="0"/>
                  <w:vAlign w:val="center"/>
                </w:tcPr>
                <w:p w14:paraId="03C0E9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F715BB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13118D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7125A8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1A88CCD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电缆接头检查紧固</w:t>
                  </w:r>
                </w:p>
              </w:tc>
              <w:tc>
                <w:tcPr>
                  <w:tcW w:w="640" w:type="dxa"/>
                  <w:tcBorders>
                    <w:tl2br w:val="nil"/>
                    <w:tr2bl w:val="nil"/>
                  </w:tcBorders>
                  <w:noWrap w:val="0"/>
                  <w:vAlign w:val="center"/>
                </w:tcPr>
                <w:p w14:paraId="56855C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E9D315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连接可靠，无发热放电现象</w:t>
                  </w:r>
                </w:p>
              </w:tc>
            </w:tr>
            <w:tr w14:paraId="5CE00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31" w:hRule="atLeast"/>
                <w:jc w:val="center"/>
              </w:trPr>
              <w:tc>
                <w:tcPr>
                  <w:tcW w:w="628" w:type="dxa"/>
                  <w:vMerge w:val="continue"/>
                  <w:tcBorders>
                    <w:tl2br w:val="nil"/>
                    <w:tr2bl w:val="nil"/>
                  </w:tcBorders>
                  <w:noWrap w:val="0"/>
                  <w:vAlign w:val="center"/>
                </w:tcPr>
                <w:p w14:paraId="3D4B32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DC78C8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1CFC947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0A5697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668AA5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一次触头检查，润滑</w:t>
                  </w:r>
                </w:p>
              </w:tc>
              <w:tc>
                <w:tcPr>
                  <w:tcW w:w="640" w:type="dxa"/>
                  <w:tcBorders>
                    <w:tl2br w:val="nil"/>
                    <w:tr2bl w:val="nil"/>
                  </w:tcBorders>
                  <w:noWrap w:val="0"/>
                  <w:vAlign w:val="center"/>
                </w:tcPr>
                <w:p w14:paraId="78051E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D886B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外观良好，无发热变色现象</w:t>
                  </w:r>
                </w:p>
              </w:tc>
            </w:tr>
            <w:tr w14:paraId="4D6A1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63" w:hRule="atLeast"/>
                <w:jc w:val="center"/>
              </w:trPr>
              <w:tc>
                <w:tcPr>
                  <w:tcW w:w="628" w:type="dxa"/>
                  <w:vMerge w:val="continue"/>
                  <w:tcBorders>
                    <w:tl2br w:val="nil"/>
                    <w:tr2bl w:val="nil"/>
                  </w:tcBorders>
                  <w:noWrap w:val="0"/>
                  <w:vAlign w:val="center"/>
                </w:tcPr>
                <w:p w14:paraId="6E7564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E496E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72CD00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4DA7DC7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5855FB3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断路器推入拉出机构检查，润滑</w:t>
                  </w:r>
                </w:p>
              </w:tc>
              <w:tc>
                <w:tcPr>
                  <w:tcW w:w="640" w:type="dxa"/>
                  <w:tcBorders>
                    <w:tl2br w:val="nil"/>
                    <w:tr2bl w:val="nil"/>
                  </w:tcBorders>
                  <w:noWrap w:val="0"/>
                  <w:vAlign w:val="center"/>
                </w:tcPr>
                <w:p w14:paraId="2E4EA4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5FB815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操作灵活无卡滞现象</w:t>
                  </w:r>
                </w:p>
              </w:tc>
            </w:tr>
            <w:tr w14:paraId="39681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2" w:hRule="atLeast"/>
                <w:jc w:val="center"/>
              </w:trPr>
              <w:tc>
                <w:tcPr>
                  <w:tcW w:w="628" w:type="dxa"/>
                  <w:vMerge w:val="continue"/>
                  <w:tcBorders>
                    <w:tl2br w:val="nil"/>
                    <w:tr2bl w:val="nil"/>
                  </w:tcBorders>
                  <w:noWrap w:val="0"/>
                  <w:vAlign w:val="center"/>
                </w:tcPr>
                <w:p w14:paraId="316EDC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F4959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2C3657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6AC16BE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1E8A84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接地刀操作检查</w:t>
                  </w:r>
                </w:p>
              </w:tc>
              <w:tc>
                <w:tcPr>
                  <w:tcW w:w="640" w:type="dxa"/>
                  <w:tcBorders>
                    <w:tl2br w:val="nil"/>
                    <w:tr2bl w:val="nil"/>
                  </w:tcBorders>
                  <w:noWrap w:val="0"/>
                  <w:vAlign w:val="center"/>
                </w:tcPr>
                <w:p w14:paraId="01DFEE4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F93D0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操作灵活，分合到位</w:t>
                  </w:r>
                </w:p>
              </w:tc>
            </w:tr>
            <w:tr w14:paraId="5675E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86" w:hRule="atLeast"/>
                <w:jc w:val="center"/>
              </w:trPr>
              <w:tc>
                <w:tcPr>
                  <w:tcW w:w="628" w:type="dxa"/>
                  <w:vMerge w:val="continue"/>
                  <w:tcBorders>
                    <w:tl2br w:val="nil"/>
                    <w:tr2bl w:val="nil"/>
                  </w:tcBorders>
                  <w:noWrap w:val="0"/>
                  <w:vAlign w:val="center"/>
                </w:tcPr>
                <w:p w14:paraId="6BB02C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00A02B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11C1969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556ADD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310E08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五防连锁试验</w:t>
                  </w:r>
                </w:p>
              </w:tc>
              <w:tc>
                <w:tcPr>
                  <w:tcW w:w="640" w:type="dxa"/>
                  <w:tcBorders>
                    <w:tl2br w:val="nil"/>
                    <w:tr2bl w:val="nil"/>
                  </w:tcBorders>
                  <w:noWrap w:val="0"/>
                  <w:vAlign w:val="center"/>
                </w:tcPr>
                <w:p w14:paraId="38B393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33493F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功能完善，实现闭锁功能</w:t>
                  </w:r>
                </w:p>
              </w:tc>
            </w:tr>
            <w:tr w14:paraId="16127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36" w:hRule="atLeast"/>
                <w:jc w:val="center"/>
              </w:trPr>
              <w:tc>
                <w:tcPr>
                  <w:tcW w:w="628" w:type="dxa"/>
                  <w:vMerge w:val="continue"/>
                  <w:tcBorders>
                    <w:tl2br w:val="nil"/>
                    <w:tr2bl w:val="nil"/>
                  </w:tcBorders>
                  <w:noWrap w:val="0"/>
                  <w:vAlign w:val="center"/>
                </w:tcPr>
                <w:p w14:paraId="6AA67A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3D24A0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D293B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7E5842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5C44A68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断路器机构检查</w:t>
                  </w:r>
                </w:p>
              </w:tc>
              <w:tc>
                <w:tcPr>
                  <w:tcW w:w="640" w:type="dxa"/>
                  <w:tcBorders>
                    <w:tl2br w:val="nil"/>
                    <w:tr2bl w:val="nil"/>
                  </w:tcBorders>
                  <w:noWrap w:val="0"/>
                  <w:vAlign w:val="center"/>
                </w:tcPr>
                <w:p w14:paraId="02557D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1480C0F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分/合闸正常，储能正常</w:t>
                  </w:r>
                </w:p>
              </w:tc>
            </w:tr>
            <w:tr w14:paraId="50EFBA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00" w:hRule="atLeast"/>
                <w:jc w:val="center"/>
              </w:trPr>
              <w:tc>
                <w:tcPr>
                  <w:tcW w:w="628" w:type="dxa"/>
                  <w:vMerge w:val="continue"/>
                  <w:tcBorders>
                    <w:tl2br w:val="nil"/>
                    <w:tr2bl w:val="nil"/>
                  </w:tcBorders>
                  <w:noWrap w:val="0"/>
                  <w:vAlign w:val="center"/>
                </w:tcPr>
                <w:p w14:paraId="32E851C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DEDAAF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12B1E0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222AC26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0D6F718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接地可靠检查</w:t>
                  </w:r>
                </w:p>
              </w:tc>
              <w:tc>
                <w:tcPr>
                  <w:tcW w:w="640" w:type="dxa"/>
                  <w:tcBorders>
                    <w:tl2br w:val="nil"/>
                    <w:tr2bl w:val="nil"/>
                  </w:tcBorders>
                  <w:noWrap w:val="0"/>
                  <w:vAlign w:val="center"/>
                </w:tcPr>
                <w:p w14:paraId="1A187AF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1A993FE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无松脱，断裂及严重腐蚀</w:t>
                  </w:r>
                </w:p>
              </w:tc>
            </w:tr>
            <w:tr w14:paraId="661BD0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59" w:hRule="atLeast"/>
                <w:jc w:val="center"/>
              </w:trPr>
              <w:tc>
                <w:tcPr>
                  <w:tcW w:w="628" w:type="dxa"/>
                  <w:vMerge w:val="continue"/>
                  <w:tcBorders>
                    <w:tl2br w:val="nil"/>
                    <w:tr2bl w:val="nil"/>
                  </w:tcBorders>
                  <w:noWrap w:val="0"/>
                  <w:vAlign w:val="center"/>
                </w:tcPr>
                <w:p w14:paraId="4550EF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9A9AEA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0574C11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restart"/>
                  <w:tcBorders>
                    <w:tl2br w:val="nil"/>
                    <w:tr2bl w:val="nil"/>
                  </w:tcBorders>
                  <w:noWrap w:val="0"/>
                  <w:vAlign w:val="center"/>
                </w:tcPr>
                <w:p w14:paraId="60294E3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w:t>
                  </w:r>
                </w:p>
              </w:tc>
              <w:tc>
                <w:tcPr>
                  <w:tcW w:w="1539" w:type="dxa"/>
                  <w:tcBorders>
                    <w:tl2br w:val="nil"/>
                    <w:tr2bl w:val="nil"/>
                  </w:tcBorders>
                  <w:noWrap w:val="0"/>
                  <w:vAlign w:val="center"/>
                </w:tcPr>
                <w:p w14:paraId="4F6076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二次接线紧固</w:t>
                  </w:r>
                </w:p>
              </w:tc>
              <w:tc>
                <w:tcPr>
                  <w:tcW w:w="640" w:type="dxa"/>
                  <w:tcBorders>
                    <w:tl2br w:val="nil"/>
                    <w:tr2bl w:val="nil"/>
                  </w:tcBorders>
                  <w:noWrap w:val="0"/>
                  <w:vAlign w:val="center"/>
                </w:tcPr>
                <w:p w14:paraId="288C9C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31BEB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无松动脱落现象</w:t>
                  </w:r>
                </w:p>
              </w:tc>
            </w:tr>
            <w:tr w14:paraId="521E2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11" w:hRule="atLeast"/>
                <w:jc w:val="center"/>
              </w:trPr>
              <w:tc>
                <w:tcPr>
                  <w:tcW w:w="628" w:type="dxa"/>
                  <w:vMerge w:val="continue"/>
                  <w:tcBorders>
                    <w:tl2br w:val="nil"/>
                    <w:tr2bl w:val="nil"/>
                  </w:tcBorders>
                  <w:noWrap w:val="0"/>
                  <w:vAlign w:val="center"/>
                </w:tcPr>
                <w:p w14:paraId="26FB771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9C636C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CEBB4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7EDE30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082BFD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保护功能调试</w:t>
                  </w:r>
                </w:p>
              </w:tc>
              <w:tc>
                <w:tcPr>
                  <w:tcW w:w="640" w:type="dxa"/>
                  <w:tcBorders>
                    <w:tl2br w:val="nil"/>
                    <w:tr2bl w:val="nil"/>
                  </w:tcBorders>
                  <w:noWrap w:val="0"/>
                  <w:vAlign w:val="center"/>
                </w:tcPr>
                <w:p w14:paraId="0702F9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2CE08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功能完善，测量精准</w:t>
                  </w:r>
                </w:p>
              </w:tc>
            </w:tr>
            <w:tr w14:paraId="00F87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56" w:hRule="atLeast"/>
                <w:jc w:val="center"/>
              </w:trPr>
              <w:tc>
                <w:tcPr>
                  <w:tcW w:w="628" w:type="dxa"/>
                  <w:vMerge w:val="continue"/>
                  <w:tcBorders>
                    <w:tl2br w:val="nil"/>
                    <w:tr2bl w:val="nil"/>
                  </w:tcBorders>
                  <w:noWrap w:val="0"/>
                  <w:vAlign w:val="center"/>
                </w:tcPr>
                <w:p w14:paraId="57E38F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F74E51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4093B28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6F17D7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667705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辅助接点检查</w:t>
                  </w:r>
                </w:p>
              </w:tc>
              <w:tc>
                <w:tcPr>
                  <w:tcW w:w="640" w:type="dxa"/>
                  <w:tcBorders>
                    <w:tl2br w:val="nil"/>
                    <w:tr2bl w:val="nil"/>
                  </w:tcBorders>
                  <w:noWrap w:val="0"/>
                  <w:vAlign w:val="center"/>
                </w:tcPr>
                <w:p w14:paraId="75B0ED7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AA57D0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工作正常</w:t>
                  </w:r>
                </w:p>
              </w:tc>
            </w:tr>
            <w:tr w14:paraId="49C6B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11" w:hRule="atLeast"/>
                <w:jc w:val="center"/>
              </w:trPr>
              <w:tc>
                <w:tcPr>
                  <w:tcW w:w="628" w:type="dxa"/>
                  <w:vMerge w:val="continue"/>
                  <w:tcBorders>
                    <w:tl2br w:val="nil"/>
                    <w:tr2bl w:val="nil"/>
                  </w:tcBorders>
                  <w:noWrap w:val="0"/>
                  <w:vAlign w:val="center"/>
                </w:tcPr>
                <w:p w14:paraId="43C2B9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34A88FE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9879F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90" w:type="dxa"/>
                  <w:gridSpan w:val="3"/>
                  <w:vMerge w:val="continue"/>
                  <w:tcBorders>
                    <w:tl2br w:val="nil"/>
                    <w:tr2bl w:val="nil"/>
                  </w:tcBorders>
                  <w:noWrap w:val="0"/>
                  <w:vAlign w:val="center"/>
                </w:tcPr>
                <w:p w14:paraId="24969F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539" w:type="dxa"/>
                  <w:tcBorders>
                    <w:tl2br w:val="nil"/>
                    <w:tr2bl w:val="nil"/>
                  </w:tcBorders>
                  <w:noWrap w:val="0"/>
                  <w:vAlign w:val="center"/>
                </w:tcPr>
                <w:p w14:paraId="17DF58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图纸完整度检查；</w:t>
                  </w:r>
                </w:p>
              </w:tc>
              <w:tc>
                <w:tcPr>
                  <w:tcW w:w="640" w:type="dxa"/>
                  <w:tcBorders>
                    <w:tl2br w:val="nil"/>
                    <w:tr2bl w:val="nil"/>
                  </w:tcBorders>
                  <w:noWrap w:val="0"/>
                  <w:vAlign w:val="center"/>
                </w:tcPr>
                <w:p w14:paraId="011C2AE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FCDBF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图纸完善</w:t>
                  </w:r>
                </w:p>
              </w:tc>
            </w:tr>
            <w:tr w14:paraId="3D5B7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97" w:hRule="atLeast"/>
                <w:jc w:val="center"/>
              </w:trPr>
              <w:tc>
                <w:tcPr>
                  <w:tcW w:w="628" w:type="dxa"/>
                  <w:vMerge w:val="continue"/>
                  <w:tcBorders>
                    <w:tl2br w:val="nil"/>
                    <w:tr2bl w:val="nil"/>
                  </w:tcBorders>
                  <w:noWrap w:val="0"/>
                  <w:vAlign w:val="center"/>
                </w:tcPr>
                <w:p w14:paraId="45EBB6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B34B7D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restart"/>
                  <w:tcBorders>
                    <w:tl2br w:val="nil"/>
                    <w:tr2bl w:val="nil"/>
                  </w:tcBorders>
                  <w:noWrap w:val="0"/>
                  <w:vAlign w:val="center"/>
                </w:tcPr>
                <w:p w14:paraId="673196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无损预防试验</w:t>
                  </w:r>
                </w:p>
              </w:tc>
              <w:tc>
                <w:tcPr>
                  <w:tcW w:w="2229" w:type="dxa"/>
                  <w:gridSpan w:val="4"/>
                  <w:tcBorders>
                    <w:tl2br w:val="nil"/>
                    <w:tr2bl w:val="nil"/>
                  </w:tcBorders>
                  <w:noWrap w:val="0"/>
                  <w:vAlign w:val="center"/>
                </w:tcPr>
                <w:p w14:paraId="42FD5C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微机保护装置测试</w:t>
                  </w:r>
                </w:p>
              </w:tc>
              <w:tc>
                <w:tcPr>
                  <w:tcW w:w="640" w:type="dxa"/>
                  <w:tcBorders>
                    <w:tl2br w:val="nil"/>
                    <w:tr2bl w:val="nil"/>
                  </w:tcBorders>
                  <w:noWrap w:val="0"/>
                  <w:vAlign w:val="center"/>
                </w:tcPr>
                <w:p w14:paraId="085C07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0337F6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功能完善，动作灵敏</w:t>
                  </w:r>
                </w:p>
              </w:tc>
            </w:tr>
            <w:tr w14:paraId="09AEF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17" w:hRule="atLeast"/>
                <w:jc w:val="center"/>
              </w:trPr>
              <w:tc>
                <w:tcPr>
                  <w:tcW w:w="628" w:type="dxa"/>
                  <w:vMerge w:val="continue"/>
                  <w:tcBorders>
                    <w:tl2br w:val="nil"/>
                    <w:tr2bl w:val="nil"/>
                  </w:tcBorders>
                  <w:noWrap w:val="0"/>
                  <w:vAlign w:val="center"/>
                </w:tcPr>
                <w:p w14:paraId="621A43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3559D1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DEA323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78E8DC8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断路器机械特性测试</w:t>
                  </w:r>
                </w:p>
              </w:tc>
              <w:tc>
                <w:tcPr>
                  <w:tcW w:w="640" w:type="dxa"/>
                  <w:tcBorders>
                    <w:tl2br w:val="nil"/>
                    <w:tr2bl w:val="nil"/>
                  </w:tcBorders>
                  <w:noWrap w:val="0"/>
                  <w:vAlign w:val="center"/>
                </w:tcPr>
                <w:p w14:paraId="2770C2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058E3B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机械操作灵活无卡滞现象</w:t>
                  </w:r>
                </w:p>
              </w:tc>
            </w:tr>
            <w:tr w14:paraId="3F01E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03" w:hRule="atLeast"/>
                <w:jc w:val="center"/>
              </w:trPr>
              <w:tc>
                <w:tcPr>
                  <w:tcW w:w="628" w:type="dxa"/>
                  <w:vMerge w:val="continue"/>
                  <w:tcBorders>
                    <w:tl2br w:val="nil"/>
                    <w:tr2bl w:val="nil"/>
                  </w:tcBorders>
                  <w:noWrap w:val="0"/>
                  <w:vAlign w:val="center"/>
                </w:tcPr>
                <w:p w14:paraId="60B86C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F7335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FF0D9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342B1F4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绝缘电阻测试</w:t>
                  </w:r>
                </w:p>
              </w:tc>
              <w:tc>
                <w:tcPr>
                  <w:tcW w:w="640" w:type="dxa"/>
                  <w:tcBorders>
                    <w:tl2br w:val="nil"/>
                    <w:tr2bl w:val="nil"/>
                  </w:tcBorders>
                  <w:noWrap w:val="0"/>
                  <w:vAlign w:val="center"/>
                </w:tcPr>
                <w:p w14:paraId="25AFC4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2027231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参照制造厂商规定</w:t>
                  </w:r>
                </w:p>
              </w:tc>
            </w:tr>
            <w:tr w14:paraId="32944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78" w:hRule="atLeast"/>
                <w:jc w:val="center"/>
              </w:trPr>
              <w:tc>
                <w:tcPr>
                  <w:tcW w:w="628" w:type="dxa"/>
                  <w:vMerge w:val="continue"/>
                  <w:tcBorders>
                    <w:tl2br w:val="nil"/>
                    <w:tr2bl w:val="nil"/>
                  </w:tcBorders>
                  <w:noWrap w:val="0"/>
                  <w:vAlign w:val="center"/>
                </w:tcPr>
                <w:p w14:paraId="3EEC2C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60ED38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7EE99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1DD05D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主回路电阻测试</w:t>
                  </w:r>
                </w:p>
              </w:tc>
              <w:tc>
                <w:tcPr>
                  <w:tcW w:w="640" w:type="dxa"/>
                  <w:tcBorders>
                    <w:tl2br w:val="nil"/>
                    <w:tr2bl w:val="nil"/>
                  </w:tcBorders>
                  <w:noWrap w:val="0"/>
                  <w:vAlign w:val="center"/>
                </w:tcPr>
                <w:p w14:paraId="499E38C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1AC086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初值差＜70%</w:t>
                  </w:r>
                </w:p>
              </w:tc>
            </w:tr>
            <w:tr w14:paraId="5FEAE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97" w:hRule="atLeast"/>
                <w:jc w:val="center"/>
              </w:trPr>
              <w:tc>
                <w:tcPr>
                  <w:tcW w:w="628" w:type="dxa"/>
                  <w:vMerge w:val="continue"/>
                  <w:tcBorders>
                    <w:tl2br w:val="nil"/>
                    <w:tr2bl w:val="nil"/>
                  </w:tcBorders>
                  <w:noWrap w:val="0"/>
                  <w:vAlign w:val="center"/>
                </w:tcPr>
                <w:p w14:paraId="332998D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A35BF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04C6F53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20AB76C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互感器变比验证</w:t>
                  </w:r>
                </w:p>
              </w:tc>
              <w:tc>
                <w:tcPr>
                  <w:tcW w:w="640" w:type="dxa"/>
                  <w:tcBorders>
                    <w:tl2br w:val="nil"/>
                    <w:tr2bl w:val="nil"/>
                  </w:tcBorders>
                  <w:noWrap w:val="0"/>
                  <w:vAlign w:val="center"/>
                </w:tcPr>
                <w:p w14:paraId="3677E9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必要时</w:t>
                  </w:r>
                </w:p>
              </w:tc>
              <w:tc>
                <w:tcPr>
                  <w:tcW w:w="2235" w:type="dxa"/>
                  <w:tcBorders>
                    <w:tl2br w:val="nil"/>
                    <w:tr2bl w:val="nil"/>
                  </w:tcBorders>
                  <w:noWrap w:val="0"/>
                  <w:vAlign w:val="center"/>
                </w:tcPr>
                <w:p w14:paraId="3E9B5A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符合生产厂家技术要求</w:t>
                  </w:r>
                </w:p>
              </w:tc>
            </w:tr>
            <w:tr w14:paraId="5FC29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02" w:hRule="atLeast"/>
                <w:jc w:val="center"/>
              </w:trPr>
              <w:tc>
                <w:tcPr>
                  <w:tcW w:w="628" w:type="dxa"/>
                  <w:vMerge w:val="continue"/>
                  <w:tcBorders>
                    <w:tl2br w:val="nil"/>
                    <w:tr2bl w:val="nil"/>
                  </w:tcBorders>
                  <w:noWrap w:val="0"/>
                  <w:vAlign w:val="center"/>
                </w:tcPr>
                <w:p w14:paraId="181207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E05931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tcBorders>
                    <w:tl2br w:val="nil"/>
                    <w:tr2bl w:val="nil"/>
                  </w:tcBorders>
                  <w:noWrap w:val="0"/>
                  <w:vAlign w:val="center"/>
                </w:tcPr>
                <w:p w14:paraId="7173CED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有损预防试验</w:t>
                  </w:r>
                </w:p>
              </w:tc>
              <w:tc>
                <w:tcPr>
                  <w:tcW w:w="2229" w:type="dxa"/>
                  <w:gridSpan w:val="4"/>
                  <w:tcBorders>
                    <w:tl2br w:val="nil"/>
                    <w:tr2bl w:val="nil"/>
                  </w:tcBorders>
                  <w:noWrap w:val="0"/>
                  <w:vAlign w:val="center"/>
                </w:tcPr>
                <w:p w14:paraId="4714B2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工频耐压试验</w:t>
                  </w:r>
                </w:p>
              </w:tc>
              <w:tc>
                <w:tcPr>
                  <w:tcW w:w="640" w:type="dxa"/>
                  <w:tcBorders>
                    <w:tl2br w:val="nil"/>
                    <w:tr2bl w:val="nil"/>
                  </w:tcBorders>
                  <w:noWrap w:val="0"/>
                  <w:vAlign w:val="center"/>
                </w:tcPr>
                <w:p w14:paraId="1D2F74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0B3FF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无击穿、无放电现象</w:t>
                  </w:r>
                </w:p>
              </w:tc>
            </w:tr>
            <w:tr w14:paraId="7C114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80" w:hRule="atLeast"/>
                <w:jc w:val="center"/>
              </w:trPr>
              <w:tc>
                <w:tcPr>
                  <w:tcW w:w="628" w:type="dxa"/>
                  <w:vMerge w:val="restart"/>
                  <w:tcBorders>
                    <w:tl2br w:val="nil"/>
                    <w:tr2bl w:val="nil"/>
                  </w:tcBorders>
                  <w:noWrap w:val="0"/>
                  <w:vAlign w:val="center"/>
                </w:tcPr>
                <w:p w14:paraId="1C0FBA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3</w:t>
                  </w:r>
                </w:p>
              </w:tc>
              <w:tc>
                <w:tcPr>
                  <w:tcW w:w="675" w:type="dxa"/>
                  <w:vMerge w:val="restart"/>
                  <w:tcBorders>
                    <w:tl2br w:val="nil"/>
                    <w:tr2bl w:val="nil"/>
                  </w:tcBorders>
                  <w:noWrap w:val="0"/>
                  <w:vAlign w:val="center"/>
                </w:tcPr>
                <w:p w14:paraId="2947F97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低 压 柜</w:t>
                  </w:r>
                </w:p>
              </w:tc>
              <w:tc>
                <w:tcPr>
                  <w:tcW w:w="842" w:type="dxa"/>
                  <w:vMerge w:val="restart"/>
                  <w:tcBorders>
                    <w:tl2br w:val="nil"/>
                    <w:tr2bl w:val="nil"/>
                  </w:tcBorders>
                  <w:noWrap w:val="0"/>
                  <w:vAlign w:val="center"/>
                </w:tcPr>
                <w:p w14:paraId="204C20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巡检</w:t>
                  </w:r>
                </w:p>
              </w:tc>
              <w:tc>
                <w:tcPr>
                  <w:tcW w:w="2229" w:type="dxa"/>
                  <w:gridSpan w:val="4"/>
                  <w:tcBorders>
                    <w:tl2br w:val="nil"/>
                    <w:tr2bl w:val="nil"/>
                  </w:tcBorders>
                  <w:noWrap w:val="0"/>
                  <w:vAlign w:val="center"/>
                </w:tcPr>
                <w:p w14:paraId="45E67D0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运行工况</w:t>
                  </w:r>
                </w:p>
              </w:tc>
              <w:tc>
                <w:tcPr>
                  <w:tcW w:w="640" w:type="dxa"/>
                  <w:tcBorders>
                    <w:tl2br w:val="nil"/>
                    <w:tr2bl w:val="nil"/>
                  </w:tcBorders>
                  <w:noWrap w:val="0"/>
                  <w:vAlign w:val="center"/>
                </w:tcPr>
                <w:p w14:paraId="2696DC0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5A578E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运行指示正常</w:t>
                  </w:r>
                </w:p>
              </w:tc>
            </w:tr>
            <w:tr w14:paraId="2E5DA3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90" w:hRule="atLeast"/>
                <w:jc w:val="center"/>
              </w:trPr>
              <w:tc>
                <w:tcPr>
                  <w:tcW w:w="628" w:type="dxa"/>
                  <w:vMerge w:val="continue"/>
                  <w:tcBorders>
                    <w:tl2br w:val="nil"/>
                    <w:tr2bl w:val="nil"/>
                  </w:tcBorders>
                  <w:noWrap w:val="0"/>
                  <w:vAlign w:val="center"/>
                </w:tcPr>
                <w:p w14:paraId="30375D7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A76A86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4050318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3A3C094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电容柜</w:t>
                  </w:r>
                </w:p>
              </w:tc>
              <w:tc>
                <w:tcPr>
                  <w:tcW w:w="640" w:type="dxa"/>
                  <w:tcBorders>
                    <w:tl2br w:val="nil"/>
                    <w:tr2bl w:val="nil"/>
                  </w:tcBorders>
                  <w:noWrap w:val="0"/>
                  <w:vAlign w:val="center"/>
                </w:tcPr>
                <w:p w14:paraId="71E4F8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488FF1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电容无故包，一次线路无烧融现象</w:t>
                  </w:r>
                </w:p>
              </w:tc>
            </w:tr>
            <w:tr w14:paraId="1DFAFD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6" w:hRule="atLeast"/>
                <w:jc w:val="center"/>
              </w:trPr>
              <w:tc>
                <w:tcPr>
                  <w:tcW w:w="628" w:type="dxa"/>
                  <w:vMerge w:val="continue"/>
                  <w:tcBorders>
                    <w:tl2br w:val="nil"/>
                    <w:tr2bl w:val="nil"/>
                  </w:tcBorders>
                  <w:noWrap w:val="0"/>
                  <w:vAlign w:val="center"/>
                </w:tcPr>
                <w:p w14:paraId="1A8D04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F59A44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1B8A838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4F67548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馈线柜电缆搭接</w:t>
                  </w:r>
                </w:p>
              </w:tc>
              <w:tc>
                <w:tcPr>
                  <w:tcW w:w="640" w:type="dxa"/>
                  <w:tcBorders>
                    <w:tl2br w:val="nil"/>
                    <w:tr2bl w:val="nil"/>
                  </w:tcBorders>
                  <w:noWrap w:val="0"/>
                  <w:vAlign w:val="center"/>
                </w:tcPr>
                <w:p w14:paraId="019B185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527FE36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红外测温，无放点现象</w:t>
                  </w:r>
                </w:p>
              </w:tc>
            </w:tr>
            <w:tr w14:paraId="430BAB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6" w:hRule="atLeast"/>
                <w:jc w:val="center"/>
              </w:trPr>
              <w:tc>
                <w:tcPr>
                  <w:tcW w:w="628" w:type="dxa"/>
                  <w:vMerge w:val="continue"/>
                  <w:tcBorders>
                    <w:tl2br w:val="nil"/>
                    <w:tr2bl w:val="nil"/>
                  </w:tcBorders>
                  <w:noWrap w:val="0"/>
                  <w:vAlign w:val="center"/>
                </w:tcPr>
                <w:p w14:paraId="1B46F80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319B41B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10F192E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002CC3F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仪表显示</w:t>
                  </w:r>
                </w:p>
              </w:tc>
              <w:tc>
                <w:tcPr>
                  <w:tcW w:w="640" w:type="dxa"/>
                  <w:tcBorders>
                    <w:tl2br w:val="nil"/>
                    <w:tr2bl w:val="nil"/>
                  </w:tcBorders>
                  <w:noWrap w:val="0"/>
                  <w:vAlign w:val="center"/>
                </w:tcPr>
                <w:p w14:paraId="48773F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3C97E61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测量数据显示精准</w:t>
                  </w:r>
                </w:p>
              </w:tc>
            </w:tr>
            <w:tr w14:paraId="7DB703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6" w:hRule="atLeast"/>
                <w:jc w:val="center"/>
              </w:trPr>
              <w:tc>
                <w:tcPr>
                  <w:tcW w:w="628" w:type="dxa"/>
                  <w:vMerge w:val="continue"/>
                  <w:tcBorders>
                    <w:tl2br w:val="nil"/>
                    <w:tr2bl w:val="nil"/>
                  </w:tcBorders>
                  <w:noWrap w:val="0"/>
                  <w:vAlign w:val="center"/>
                </w:tcPr>
                <w:p w14:paraId="1C26299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7087F3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F8AB0C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00D99A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母线搭接处</w:t>
                  </w:r>
                </w:p>
              </w:tc>
              <w:tc>
                <w:tcPr>
                  <w:tcW w:w="640" w:type="dxa"/>
                  <w:tcBorders>
                    <w:tl2br w:val="nil"/>
                    <w:tr2bl w:val="nil"/>
                  </w:tcBorders>
                  <w:noWrap w:val="0"/>
                  <w:vAlign w:val="center"/>
                </w:tcPr>
                <w:p w14:paraId="0C00A4B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0E6AAFE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红外测温，显示正常</w:t>
                  </w:r>
                </w:p>
              </w:tc>
            </w:tr>
            <w:tr w14:paraId="2F31E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6" w:hRule="atLeast"/>
                <w:jc w:val="center"/>
              </w:trPr>
              <w:tc>
                <w:tcPr>
                  <w:tcW w:w="628" w:type="dxa"/>
                  <w:vMerge w:val="continue"/>
                  <w:tcBorders>
                    <w:tl2br w:val="nil"/>
                    <w:tr2bl w:val="nil"/>
                  </w:tcBorders>
                  <w:noWrap w:val="0"/>
                  <w:vAlign w:val="center"/>
                </w:tcPr>
                <w:p w14:paraId="3B92D3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CFAA77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4E16A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6808146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异常声音</w:t>
                  </w:r>
                </w:p>
              </w:tc>
              <w:tc>
                <w:tcPr>
                  <w:tcW w:w="640" w:type="dxa"/>
                  <w:tcBorders>
                    <w:tl2br w:val="nil"/>
                    <w:tr2bl w:val="nil"/>
                  </w:tcBorders>
                  <w:noWrap w:val="0"/>
                  <w:vAlign w:val="center"/>
                </w:tcPr>
                <w:p w14:paraId="52B541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4D6DF7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无放电声响</w:t>
                  </w:r>
                </w:p>
              </w:tc>
            </w:tr>
            <w:tr w14:paraId="06252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6" w:hRule="atLeast"/>
                <w:jc w:val="center"/>
              </w:trPr>
              <w:tc>
                <w:tcPr>
                  <w:tcW w:w="628" w:type="dxa"/>
                  <w:vMerge w:val="continue"/>
                  <w:tcBorders>
                    <w:tl2br w:val="nil"/>
                    <w:tr2bl w:val="nil"/>
                  </w:tcBorders>
                  <w:noWrap w:val="0"/>
                  <w:vAlign w:val="center"/>
                </w:tcPr>
                <w:p w14:paraId="5E870F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278E6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1ED6D55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9" w:type="dxa"/>
                  <w:gridSpan w:val="4"/>
                  <w:tcBorders>
                    <w:tl2br w:val="nil"/>
                    <w:tr2bl w:val="nil"/>
                  </w:tcBorders>
                  <w:noWrap w:val="0"/>
                  <w:vAlign w:val="center"/>
                </w:tcPr>
                <w:p w14:paraId="4FB4E3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低压电器</w:t>
                  </w:r>
                </w:p>
              </w:tc>
              <w:tc>
                <w:tcPr>
                  <w:tcW w:w="640" w:type="dxa"/>
                  <w:tcBorders>
                    <w:tl2br w:val="nil"/>
                    <w:tr2bl w:val="nil"/>
                  </w:tcBorders>
                  <w:noWrap w:val="0"/>
                  <w:vAlign w:val="center"/>
                </w:tcPr>
                <w:p w14:paraId="13C8A08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6AADD4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无异响，无放电痕迹</w:t>
                  </w:r>
                </w:p>
              </w:tc>
            </w:tr>
            <w:tr w14:paraId="18FAF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04" w:hRule="atLeast"/>
                <w:jc w:val="center"/>
              </w:trPr>
              <w:tc>
                <w:tcPr>
                  <w:tcW w:w="628" w:type="dxa"/>
                  <w:vMerge w:val="continue"/>
                  <w:tcBorders>
                    <w:tl2br w:val="nil"/>
                    <w:tr2bl w:val="nil"/>
                  </w:tcBorders>
                  <w:noWrap w:val="0"/>
                  <w:vAlign w:val="center"/>
                </w:tcPr>
                <w:p w14:paraId="01E0AB7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0FDA3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restart"/>
                  <w:tcBorders>
                    <w:tl2br w:val="nil"/>
                    <w:tr2bl w:val="nil"/>
                  </w:tcBorders>
                  <w:noWrap w:val="0"/>
                  <w:vAlign w:val="center"/>
                </w:tcPr>
                <w:p w14:paraId="64E948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维护</w:t>
                  </w:r>
                </w:p>
              </w:tc>
              <w:tc>
                <w:tcPr>
                  <w:tcW w:w="304" w:type="dxa"/>
                  <w:gridSpan w:val="2"/>
                  <w:vMerge w:val="restart"/>
                  <w:tcBorders>
                    <w:tl2br w:val="nil"/>
                    <w:tr2bl w:val="nil"/>
                  </w:tcBorders>
                  <w:noWrap w:val="0"/>
                  <w:vAlign w:val="center"/>
                </w:tcPr>
                <w:p w14:paraId="1E046F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一次</w:t>
                  </w:r>
                </w:p>
              </w:tc>
              <w:tc>
                <w:tcPr>
                  <w:tcW w:w="1925" w:type="dxa"/>
                  <w:gridSpan w:val="2"/>
                  <w:tcBorders>
                    <w:tl2br w:val="nil"/>
                    <w:tr2bl w:val="nil"/>
                  </w:tcBorders>
                  <w:noWrap w:val="0"/>
                  <w:vAlign w:val="center"/>
                </w:tcPr>
                <w:p w14:paraId="3053008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一次母线</w:t>
                  </w:r>
                </w:p>
              </w:tc>
              <w:tc>
                <w:tcPr>
                  <w:tcW w:w="640" w:type="dxa"/>
                  <w:tcBorders>
                    <w:tl2br w:val="nil"/>
                    <w:tr2bl w:val="nil"/>
                  </w:tcBorders>
                  <w:noWrap w:val="0"/>
                  <w:vAlign w:val="center"/>
                </w:tcPr>
                <w:p w14:paraId="2AAF9CA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289EC2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连接螺栓紧固，有无放电现象</w:t>
                  </w:r>
                </w:p>
              </w:tc>
            </w:tr>
            <w:tr w14:paraId="2D9DB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01" w:hRule="atLeast"/>
                <w:jc w:val="center"/>
              </w:trPr>
              <w:tc>
                <w:tcPr>
                  <w:tcW w:w="628" w:type="dxa"/>
                  <w:vMerge w:val="continue"/>
                  <w:tcBorders>
                    <w:tl2br w:val="nil"/>
                    <w:tr2bl w:val="nil"/>
                  </w:tcBorders>
                  <w:noWrap w:val="0"/>
                  <w:vAlign w:val="center"/>
                </w:tcPr>
                <w:p w14:paraId="144D223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0E8E9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79C82A2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737F7E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744C8C3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绝缘支撑件</w:t>
                  </w:r>
                </w:p>
              </w:tc>
              <w:tc>
                <w:tcPr>
                  <w:tcW w:w="640" w:type="dxa"/>
                  <w:tcBorders>
                    <w:tl2br w:val="nil"/>
                    <w:tr2bl w:val="nil"/>
                  </w:tcBorders>
                  <w:noWrap w:val="0"/>
                  <w:vAlign w:val="center"/>
                </w:tcPr>
                <w:p w14:paraId="4381112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2F2B17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支撑牢靠，紧固有无爬电现象</w:t>
                  </w:r>
                </w:p>
              </w:tc>
            </w:tr>
            <w:tr w14:paraId="3FEC6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01" w:hRule="atLeast"/>
                <w:jc w:val="center"/>
              </w:trPr>
              <w:tc>
                <w:tcPr>
                  <w:tcW w:w="628" w:type="dxa"/>
                  <w:vMerge w:val="continue"/>
                  <w:tcBorders>
                    <w:tl2br w:val="nil"/>
                    <w:tr2bl w:val="nil"/>
                  </w:tcBorders>
                  <w:noWrap w:val="0"/>
                  <w:vAlign w:val="center"/>
                </w:tcPr>
                <w:p w14:paraId="0B0C2D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4F130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B7630E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44BF3C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7533573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电缆接头</w:t>
                  </w:r>
                </w:p>
              </w:tc>
              <w:tc>
                <w:tcPr>
                  <w:tcW w:w="640" w:type="dxa"/>
                  <w:tcBorders>
                    <w:tl2br w:val="nil"/>
                    <w:tr2bl w:val="nil"/>
                  </w:tcBorders>
                  <w:noWrap w:val="0"/>
                  <w:vAlign w:val="center"/>
                </w:tcPr>
                <w:p w14:paraId="33085EF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1E1BAC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连接牢靠，无发热烧融现象</w:t>
                  </w:r>
                </w:p>
              </w:tc>
            </w:tr>
            <w:tr w14:paraId="030FF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80" w:hRule="atLeast"/>
                <w:jc w:val="center"/>
              </w:trPr>
              <w:tc>
                <w:tcPr>
                  <w:tcW w:w="628" w:type="dxa"/>
                  <w:vMerge w:val="continue"/>
                  <w:tcBorders>
                    <w:tl2br w:val="nil"/>
                    <w:tr2bl w:val="nil"/>
                  </w:tcBorders>
                  <w:noWrap w:val="0"/>
                  <w:vAlign w:val="center"/>
                </w:tcPr>
                <w:p w14:paraId="5B7C551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C037F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0AD0A8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72A350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31B5050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框架断路器</w:t>
                  </w:r>
                </w:p>
              </w:tc>
              <w:tc>
                <w:tcPr>
                  <w:tcW w:w="640" w:type="dxa"/>
                  <w:tcBorders>
                    <w:tl2br w:val="nil"/>
                    <w:tr2bl w:val="nil"/>
                  </w:tcBorders>
                  <w:noWrap w:val="0"/>
                  <w:vAlign w:val="center"/>
                </w:tcPr>
                <w:p w14:paraId="34A8C4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33049A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操作机构灵活，一次触头检查润滑</w:t>
                  </w:r>
                </w:p>
              </w:tc>
            </w:tr>
            <w:tr w14:paraId="2593B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78" w:hRule="atLeast"/>
                <w:jc w:val="center"/>
              </w:trPr>
              <w:tc>
                <w:tcPr>
                  <w:tcW w:w="628" w:type="dxa"/>
                  <w:vMerge w:val="continue"/>
                  <w:tcBorders>
                    <w:tl2br w:val="nil"/>
                    <w:tr2bl w:val="nil"/>
                  </w:tcBorders>
                  <w:noWrap w:val="0"/>
                  <w:vAlign w:val="center"/>
                </w:tcPr>
                <w:p w14:paraId="675E5B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D53CEE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6A1A9AA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1BB15F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75DCA6E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抽屉柜</w:t>
                  </w:r>
                </w:p>
              </w:tc>
              <w:tc>
                <w:tcPr>
                  <w:tcW w:w="640" w:type="dxa"/>
                  <w:tcBorders>
                    <w:tl2br w:val="nil"/>
                    <w:tr2bl w:val="nil"/>
                  </w:tcBorders>
                  <w:noWrap w:val="0"/>
                  <w:vAlign w:val="center"/>
                </w:tcPr>
                <w:p w14:paraId="758A24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4BD0461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操作机构灵活，一次触头检查润滑</w:t>
                  </w:r>
                </w:p>
              </w:tc>
            </w:tr>
            <w:tr w14:paraId="71058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78" w:hRule="atLeast"/>
                <w:jc w:val="center"/>
              </w:trPr>
              <w:tc>
                <w:tcPr>
                  <w:tcW w:w="628" w:type="dxa"/>
                  <w:vMerge w:val="continue"/>
                  <w:tcBorders>
                    <w:tl2br w:val="nil"/>
                    <w:tr2bl w:val="nil"/>
                  </w:tcBorders>
                  <w:noWrap w:val="0"/>
                  <w:vAlign w:val="center"/>
                </w:tcPr>
                <w:p w14:paraId="466BA55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4BA63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243DBA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14B65D6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7F2C6B8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接地可靠检查</w:t>
                  </w:r>
                </w:p>
              </w:tc>
              <w:tc>
                <w:tcPr>
                  <w:tcW w:w="640" w:type="dxa"/>
                  <w:tcBorders>
                    <w:tl2br w:val="nil"/>
                    <w:tr2bl w:val="nil"/>
                  </w:tcBorders>
                  <w:noWrap w:val="0"/>
                  <w:vAlign w:val="center"/>
                </w:tcPr>
                <w:p w14:paraId="184375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77A766C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无松脱，严重腐蚀现象</w:t>
                  </w:r>
                </w:p>
              </w:tc>
            </w:tr>
            <w:tr w14:paraId="4BD61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68" w:hRule="atLeast"/>
                <w:jc w:val="center"/>
              </w:trPr>
              <w:tc>
                <w:tcPr>
                  <w:tcW w:w="628" w:type="dxa"/>
                  <w:vMerge w:val="continue"/>
                  <w:tcBorders>
                    <w:tl2br w:val="nil"/>
                    <w:tr2bl w:val="nil"/>
                  </w:tcBorders>
                  <w:noWrap w:val="0"/>
                  <w:vAlign w:val="center"/>
                </w:tcPr>
                <w:p w14:paraId="2EF496F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471E6B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295CF8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restart"/>
                  <w:tcBorders>
                    <w:tl2br w:val="nil"/>
                    <w:tr2bl w:val="nil"/>
                  </w:tcBorders>
                  <w:noWrap w:val="0"/>
                  <w:vAlign w:val="center"/>
                </w:tcPr>
                <w:p w14:paraId="5CD5ED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w:t>
                  </w:r>
                </w:p>
              </w:tc>
              <w:tc>
                <w:tcPr>
                  <w:tcW w:w="1925" w:type="dxa"/>
                  <w:gridSpan w:val="2"/>
                  <w:tcBorders>
                    <w:tl2br w:val="nil"/>
                    <w:tr2bl w:val="nil"/>
                  </w:tcBorders>
                  <w:noWrap w:val="0"/>
                  <w:vAlign w:val="center"/>
                </w:tcPr>
                <w:p w14:paraId="4183C16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二次线路</w:t>
                  </w:r>
                </w:p>
              </w:tc>
              <w:tc>
                <w:tcPr>
                  <w:tcW w:w="640" w:type="dxa"/>
                  <w:tcBorders>
                    <w:tl2br w:val="nil"/>
                    <w:tr2bl w:val="nil"/>
                  </w:tcBorders>
                  <w:noWrap w:val="0"/>
                  <w:vAlign w:val="center"/>
                </w:tcPr>
                <w:p w14:paraId="651D23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59892B8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紧固，检查</w:t>
                  </w:r>
                </w:p>
              </w:tc>
            </w:tr>
            <w:tr w14:paraId="3BF4A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68" w:hRule="atLeast"/>
                <w:jc w:val="center"/>
              </w:trPr>
              <w:tc>
                <w:tcPr>
                  <w:tcW w:w="628" w:type="dxa"/>
                  <w:vMerge w:val="continue"/>
                  <w:tcBorders>
                    <w:tl2br w:val="nil"/>
                    <w:tr2bl w:val="nil"/>
                  </w:tcBorders>
                  <w:noWrap w:val="0"/>
                  <w:vAlign w:val="center"/>
                </w:tcPr>
                <w:p w14:paraId="61F9FD3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56138E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385636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305D9F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3944EE1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二次仪表</w:t>
                  </w:r>
                </w:p>
              </w:tc>
              <w:tc>
                <w:tcPr>
                  <w:tcW w:w="640" w:type="dxa"/>
                  <w:tcBorders>
                    <w:tl2br w:val="nil"/>
                    <w:tr2bl w:val="nil"/>
                  </w:tcBorders>
                  <w:noWrap w:val="0"/>
                  <w:vAlign w:val="center"/>
                </w:tcPr>
                <w:p w14:paraId="218F51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5F70270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精准度测量</w:t>
                  </w:r>
                </w:p>
              </w:tc>
            </w:tr>
            <w:tr w14:paraId="33E4E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68" w:hRule="atLeast"/>
                <w:jc w:val="center"/>
              </w:trPr>
              <w:tc>
                <w:tcPr>
                  <w:tcW w:w="628" w:type="dxa"/>
                  <w:vMerge w:val="continue"/>
                  <w:tcBorders>
                    <w:tl2br w:val="nil"/>
                    <w:tr2bl w:val="nil"/>
                  </w:tcBorders>
                  <w:noWrap w:val="0"/>
                  <w:vAlign w:val="center"/>
                </w:tcPr>
                <w:p w14:paraId="24C4ED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00A75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5E4A65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618AE7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1A02DB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二次插件</w:t>
                  </w:r>
                </w:p>
              </w:tc>
              <w:tc>
                <w:tcPr>
                  <w:tcW w:w="640" w:type="dxa"/>
                  <w:tcBorders>
                    <w:tl2br w:val="nil"/>
                    <w:tr2bl w:val="nil"/>
                  </w:tcBorders>
                  <w:noWrap w:val="0"/>
                  <w:vAlign w:val="center"/>
                </w:tcPr>
                <w:p w14:paraId="029152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5860CD1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润滑，紧固</w:t>
                  </w:r>
                </w:p>
              </w:tc>
            </w:tr>
            <w:tr w14:paraId="33EF9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80" w:hRule="atLeast"/>
                <w:jc w:val="center"/>
              </w:trPr>
              <w:tc>
                <w:tcPr>
                  <w:tcW w:w="628" w:type="dxa"/>
                  <w:vMerge w:val="continue"/>
                  <w:tcBorders>
                    <w:tl2br w:val="nil"/>
                    <w:tr2bl w:val="nil"/>
                  </w:tcBorders>
                  <w:noWrap w:val="0"/>
                  <w:vAlign w:val="center"/>
                </w:tcPr>
                <w:p w14:paraId="33C28E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6A5BC0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2" w:type="dxa"/>
                  <w:vMerge w:val="continue"/>
                  <w:tcBorders>
                    <w:tl2br w:val="nil"/>
                    <w:tr2bl w:val="nil"/>
                  </w:tcBorders>
                  <w:noWrap w:val="0"/>
                  <w:vAlign w:val="center"/>
                </w:tcPr>
                <w:p w14:paraId="01A64C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304" w:type="dxa"/>
                  <w:gridSpan w:val="2"/>
                  <w:vMerge w:val="continue"/>
                  <w:tcBorders>
                    <w:tl2br w:val="nil"/>
                    <w:tr2bl w:val="nil"/>
                  </w:tcBorders>
                  <w:noWrap w:val="0"/>
                  <w:vAlign w:val="center"/>
                </w:tcPr>
                <w:p w14:paraId="50E0A8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1925" w:type="dxa"/>
                  <w:gridSpan w:val="2"/>
                  <w:tcBorders>
                    <w:tl2br w:val="nil"/>
                    <w:tr2bl w:val="nil"/>
                  </w:tcBorders>
                  <w:noWrap w:val="0"/>
                  <w:vAlign w:val="center"/>
                </w:tcPr>
                <w:p w14:paraId="1F289C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辅助触点</w:t>
                  </w:r>
                </w:p>
              </w:tc>
              <w:tc>
                <w:tcPr>
                  <w:tcW w:w="640" w:type="dxa"/>
                  <w:tcBorders>
                    <w:tl2br w:val="nil"/>
                    <w:tr2bl w:val="nil"/>
                  </w:tcBorders>
                  <w:noWrap w:val="0"/>
                  <w:vAlign w:val="center"/>
                </w:tcPr>
                <w:p w14:paraId="62303B7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43" w:type="dxa"/>
                  <w:gridSpan w:val="2"/>
                  <w:tcBorders>
                    <w:tl2br w:val="nil"/>
                    <w:tr2bl w:val="nil"/>
                  </w:tcBorders>
                  <w:noWrap w:val="0"/>
                  <w:vAlign w:val="center"/>
                </w:tcPr>
                <w:p w14:paraId="4D04EBE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功能完善</w:t>
                  </w:r>
                </w:p>
              </w:tc>
            </w:tr>
            <w:tr w14:paraId="268C2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68" w:hRule="atLeast"/>
                <w:jc w:val="center"/>
              </w:trPr>
              <w:tc>
                <w:tcPr>
                  <w:tcW w:w="628" w:type="dxa"/>
                  <w:vMerge w:val="continue"/>
                  <w:tcBorders>
                    <w:tl2br w:val="nil"/>
                    <w:tr2bl w:val="nil"/>
                  </w:tcBorders>
                  <w:noWrap w:val="0"/>
                  <w:vAlign w:val="center"/>
                </w:tcPr>
                <w:p w14:paraId="7A2734B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024C1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restart"/>
                  <w:tcBorders>
                    <w:tl2br w:val="nil"/>
                    <w:tr2bl w:val="nil"/>
                  </w:tcBorders>
                  <w:noWrap w:val="0"/>
                  <w:vAlign w:val="center"/>
                </w:tcPr>
                <w:p w14:paraId="710132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无损预防性试验</w:t>
                  </w:r>
                </w:p>
              </w:tc>
              <w:tc>
                <w:tcPr>
                  <w:tcW w:w="2225" w:type="dxa"/>
                  <w:gridSpan w:val="3"/>
                  <w:tcBorders>
                    <w:tl2br w:val="nil"/>
                    <w:tr2bl w:val="nil"/>
                  </w:tcBorders>
                  <w:noWrap w:val="0"/>
                  <w:vAlign w:val="center"/>
                </w:tcPr>
                <w:p w14:paraId="22EAF1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电气闭锁试验</w:t>
                  </w:r>
                </w:p>
              </w:tc>
              <w:tc>
                <w:tcPr>
                  <w:tcW w:w="640" w:type="dxa"/>
                  <w:tcBorders>
                    <w:tl2br w:val="nil"/>
                    <w:tr2bl w:val="nil"/>
                  </w:tcBorders>
                  <w:noWrap w:val="0"/>
                  <w:vAlign w:val="center"/>
                </w:tcPr>
                <w:p w14:paraId="4D72021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9A70C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闭锁功能完善</w:t>
                  </w:r>
                </w:p>
              </w:tc>
            </w:tr>
            <w:tr w14:paraId="51AFC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2" w:hRule="atLeast"/>
                <w:jc w:val="center"/>
              </w:trPr>
              <w:tc>
                <w:tcPr>
                  <w:tcW w:w="628" w:type="dxa"/>
                  <w:vMerge w:val="continue"/>
                  <w:tcBorders>
                    <w:tl2br w:val="nil"/>
                    <w:tr2bl w:val="nil"/>
                  </w:tcBorders>
                  <w:noWrap w:val="0"/>
                  <w:vAlign w:val="center"/>
                </w:tcPr>
                <w:p w14:paraId="28BF9D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0FDB4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66DCEF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4D7AC66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二次回路电阻测试</w:t>
                  </w:r>
                </w:p>
              </w:tc>
              <w:tc>
                <w:tcPr>
                  <w:tcW w:w="640" w:type="dxa"/>
                  <w:tcBorders>
                    <w:tl2br w:val="nil"/>
                    <w:tr2bl w:val="nil"/>
                  </w:tcBorders>
                  <w:noWrap w:val="0"/>
                  <w:vAlign w:val="center"/>
                </w:tcPr>
                <w:p w14:paraId="7145D6A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44C236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不小于1MΩ</w:t>
                  </w:r>
                </w:p>
              </w:tc>
            </w:tr>
            <w:tr w14:paraId="1604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68" w:hRule="atLeast"/>
                <w:jc w:val="center"/>
              </w:trPr>
              <w:tc>
                <w:tcPr>
                  <w:tcW w:w="628" w:type="dxa"/>
                  <w:vMerge w:val="continue"/>
                  <w:tcBorders>
                    <w:tl2br w:val="nil"/>
                    <w:tr2bl w:val="nil"/>
                  </w:tcBorders>
                  <w:noWrap w:val="0"/>
                  <w:vAlign w:val="center"/>
                </w:tcPr>
                <w:p w14:paraId="37D959F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44950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7E501D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48DB082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互感器变比验证</w:t>
                  </w:r>
                </w:p>
              </w:tc>
              <w:tc>
                <w:tcPr>
                  <w:tcW w:w="640" w:type="dxa"/>
                  <w:tcBorders>
                    <w:tl2br w:val="nil"/>
                    <w:tr2bl w:val="nil"/>
                  </w:tcBorders>
                  <w:noWrap w:val="0"/>
                  <w:vAlign w:val="center"/>
                </w:tcPr>
                <w:p w14:paraId="5EA5443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BBF181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负荷厂家设计要求</w:t>
                  </w:r>
                </w:p>
              </w:tc>
            </w:tr>
            <w:tr w14:paraId="59316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268" w:hRule="atLeast"/>
                <w:jc w:val="center"/>
              </w:trPr>
              <w:tc>
                <w:tcPr>
                  <w:tcW w:w="628" w:type="dxa"/>
                  <w:vMerge w:val="continue"/>
                  <w:tcBorders>
                    <w:tl2br w:val="nil"/>
                    <w:tr2bl w:val="nil"/>
                  </w:tcBorders>
                  <w:noWrap w:val="0"/>
                  <w:vAlign w:val="center"/>
                </w:tcPr>
                <w:p w14:paraId="1672862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FE884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466A669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0A57C4D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绝缘电阻的测试</w:t>
                  </w:r>
                </w:p>
              </w:tc>
              <w:tc>
                <w:tcPr>
                  <w:tcW w:w="640" w:type="dxa"/>
                  <w:tcBorders>
                    <w:tl2br w:val="nil"/>
                    <w:tr2bl w:val="nil"/>
                  </w:tcBorders>
                  <w:noWrap w:val="0"/>
                  <w:vAlign w:val="center"/>
                </w:tcPr>
                <w:p w14:paraId="665C3D5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27E6863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符合厂家设计要求</w:t>
                  </w:r>
                </w:p>
              </w:tc>
            </w:tr>
            <w:tr w14:paraId="58A9D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73" w:hRule="atLeast"/>
                <w:jc w:val="center"/>
              </w:trPr>
              <w:tc>
                <w:tcPr>
                  <w:tcW w:w="628" w:type="dxa"/>
                  <w:vMerge w:val="continue"/>
                  <w:tcBorders>
                    <w:tl2br w:val="nil"/>
                    <w:tr2bl w:val="nil"/>
                  </w:tcBorders>
                  <w:noWrap w:val="0"/>
                  <w:vAlign w:val="center"/>
                </w:tcPr>
                <w:p w14:paraId="64D238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DC1199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tcBorders>
                    <w:tl2br w:val="nil"/>
                    <w:tr2bl w:val="nil"/>
                  </w:tcBorders>
                  <w:noWrap w:val="0"/>
                  <w:vAlign w:val="center"/>
                </w:tcPr>
                <w:p w14:paraId="4B1834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有损预防性试验</w:t>
                  </w:r>
                </w:p>
              </w:tc>
              <w:tc>
                <w:tcPr>
                  <w:tcW w:w="2225" w:type="dxa"/>
                  <w:gridSpan w:val="3"/>
                  <w:tcBorders>
                    <w:tl2br w:val="nil"/>
                    <w:tr2bl w:val="nil"/>
                  </w:tcBorders>
                  <w:noWrap w:val="0"/>
                  <w:vAlign w:val="center"/>
                </w:tcPr>
                <w:p w14:paraId="4215638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工频耐压</w:t>
                  </w:r>
                </w:p>
              </w:tc>
              <w:tc>
                <w:tcPr>
                  <w:tcW w:w="640" w:type="dxa"/>
                  <w:tcBorders>
                    <w:tl2br w:val="nil"/>
                    <w:tr2bl w:val="nil"/>
                  </w:tcBorders>
                  <w:noWrap w:val="0"/>
                  <w:vAlign w:val="center"/>
                </w:tcPr>
                <w:p w14:paraId="4B3A4B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03D7B6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1KV/60S</w:t>
                  </w:r>
                </w:p>
              </w:tc>
            </w:tr>
            <w:tr w14:paraId="23D0B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153" w:hRule="atLeast"/>
                <w:jc w:val="center"/>
              </w:trPr>
              <w:tc>
                <w:tcPr>
                  <w:tcW w:w="628" w:type="dxa"/>
                  <w:vMerge w:val="restart"/>
                  <w:tcBorders>
                    <w:tl2br w:val="nil"/>
                    <w:tr2bl w:val="nil"/>
                  </w:tcBorders>
                  <w:noWrap w:val="0"/>
                  <w:vAlign w:val="center"/>
                </w:tcPr>
                <w:p w14:paraId="00D7B8B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4</w:t>
                  </w:r>
                </w:p>
              </w:tc>
              <w:tc>
                <w:tcPr>
                  <w:tcW w:w="675" w:type="dxa"/>
                  <w:vMerge w:val="restart"/>
                  <w:tcBorders>
                    <w:tl2br w:val="nil"/>
                    <w:tr2bl w:val="nil"/>
                  </w:tcBorders>
                  <w:noWrap w:val="0"/>
                  <w:vAlign w:val="center"/>
                </w:tcPr>
                <w:p w14:paraId="00F0C9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直流屏及信号系统</w:t>
                  </w:r>
                </w:p>
              </w:tc>
              <w:tc>
                <w:tcPr>
                  <w:tcW w:w="846" w:type="dxa"/>
                  <w:gridSpan w:val="2"/>
                  <w:vMerge w:val="restart"/>
                  <w:tcBorders>
                    <w:tl2br w:val="nil"/>
                    <w:tr2bl w:val="nil"/>
                  </w:tcBorders>
                  <w:noWrap w:val="0"/>
                  <w:vAlign w:val="center"/>
                </w:tcPr>
                <w:p w14:paraId="0A64E8D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巡检</w:t>
                  </w:r>
                </w:p>
              </w:tc>
              <w:tc>
                <w:tcPr>
                  <w:tcW w:w="2225" w:type="dxa"/>
                  <w:gridSpan w:val="3"/>
                  <w:tcBorders>
                    <w:tl2br w:val="nil"/>
                    <w:tr2bl w:val="nil"/>
                  </w:tcBorders>
                  <w:noWrap w:val="0"/>
                  <w:vAlign w:val="center"/>
                </w:tcPr>
                <w:p w14:paraId="044F46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运行工况</w:t>
                  </w:r>
                </w:p>
              </w:tc>
              <w:tc>
                <w:tcPr>
                  <w:tcW w:w="640" w:type="dxa"/>
                  <w:tcBorders>
                    <w:tl2br w:val="nil"/>
                    <w:tr2bl w:val="nil"/>
                  </w:tcBorders>
                  <w:noWrap w:val="0"/>
                  <w:vAlign w:val="center"/>
                </w:tcPr>
                <w:p w14:paraId="090E9A1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top"/>
                </w:tcPr>
                <w:p w14:paraId="4CFB77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运行正常</w:t>
                  </w:r>
                </w:p>
              </w:tc>
            </w:tr>
            <w:tr w14:paraId="06AE8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90" w:hRule="atLeast"/>
                <w:jc w:val="center"/>
              </w:trPr>
              <w:tc>
                <w:tcPr>
                  <w:tcW w:w="628" w:type="dxa"/>
                  <w:vMerge w:val="continue"/>
                  <w:tcBorders>
                    <w:tl2br w:val="nil"/>
                    <w:tr2bl w:val="nil"/>
                  </w:tcBorders>
                  <w:noWrap w:val="0"/>
                  <w:vAlign w:val="center"/>
                </w:tcPr>
                <w:p w14:paraId="584887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0C1B05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48508B8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1801868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充电机运行状况</w:t>
                  </w:r>
                </w:p>
              </w:tc>
              <w:tc>
                <w:tcPr>
                  <w:tcW w:w="640" w:type="dxa"/>
                  <w:tcBorders>
                    <w:tl2br w:val="nil"/>
                    <w:tr2bl w:val="nil"/>
                  </w:tcBorders>
                  <w:noWrap w:val="0"/>
                  <w:vAlign w:val="center"/>
                </w:tcPr>
                <w:p w14:paraId="7F8CFB0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top"/>
                </w:tcPr>
                <w:p w14:paraId="1FB246C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正常工作</w:t>
                  </w:r>
                </w:p>
              </w:tc>
            </w:tr>
            <w:tr w14:paraId="487C1A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51" w:hRule="atLeast"/>
                <w:jc w:val="center"/>
              </w:trPr>
              <w:tc>
                <w:tcPr>
                  <w:tcW w:w="628" w:type="dxa"/>
                  <w:vMerge w:val="continue"/>
                  <w:tcBorders>
                    <w:tl2br w:val="nil"/>
                    <w:tr2bl w:val="nil"/>
                  </w:tcBorders>
                  <w:noWrap w:val="0"/>
                  <w:vAlign w:val="center"/>
                </w:tcPr>
                <w:p w14:paraId="0EC2853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0C113D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1DD270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297434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输出电压验证</w:t>
                  </w:r>
                </w:p>
              </w:tc>
              <w:tc>
                <w:tcPr>
                  <w:tcW w:w="640" w:type="dxa"/>
                  <w:tcBorders>
                    <w:tl2br w:val="nil"/>
                    <w:tr2bl w:val="nil"/>
                  </w:tcBorders>
                  <w:noWrap w:val="0"/>
                  <w:vAlign w:val="center"/>
                </w:tcPr>
                <w:p w14:paraId="00790E7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top"/>
                </w:tcPr>
                <w:p w14:paraId="4625E2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电压、电流正常</w:t>
                  </w:r>
                </w:p>
              </w:tc>
            </w:tr>
            <w:tr w14:paraId="6C1DF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90" w:hRule="atLeast"/>
                <w:jc w:val="center"/>
              </w:trPr>
              <w:tc>
                <w:tcPr>
                  <w:tcW w:w="628" w:type="dxa"/>
                  <w:vMerge w:val="continue"/>
                  <w:tcBorders>
                    <w:tl2br w:val="nil"/>
                    <w:tr2bl w:val="nil"/>
                  </w:tcBorders>
                  <w:noWrap w:val="0"/>
                  <w:vAlign w:val="center"/>
                </w:tcPr>
                <w:p w14:paraId="78FC57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A57D8F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118CFA3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78E5B7C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蓄电池外观检查</w:t>
                  </w:r>
                </w:p>
              </w:tc>
              <w:tc>
                <w:tcPr>
                  <w:tcW w:w="640" w:type="dxa"/>
                  <w:tcBorders>
                    <w:tl2br w:val="nil"/>
                    <w:tr2bl w:val="nil"/>
                  </w:tcBorders>
                  <w:noWrap w:val="0"/>
                  <w:vAlign w:val="center"/>
                </w:tcPr>
                <w:p w14:paraId="339FA5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top"/>
                </w:tcPr>
                <w:p w14:paraId="6DD8753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无鼓包、漏液现象</w:t>
                  </w:r>
                </w:p>
              </w:tc>
            </w:tr>
            <w:tr w14:paraId="44BA7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350" w:hRule="atLeast"/>
                <w:jc w:val="center"/>
              </w:trPr>
              <w:tc>
                <w:tcPr>
                  <w:tcW w:w="628" w:type="dxa"/>
                  <w:vMerge w:val="continue"/>
                  <w:tcBorders>
                    <w:tl2br w:val="nil"/>
                    <w:tr2bl w:val="nil"/>
                  </w:tcBorders>
                  <w:noWrap w:val="0"/>
                  <w:vAlign w:val="center"/>
                </w:tcPr>
                <w:p w14:paraId="2BFF97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3BBDC7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restart"/>
                  <w:tcBorders>
                    <w:tl2br w:val="nil"/>
                    <w:tr2bl w:val="nil"/>
                  </w:tcBorders>
                  <w:noWrap w:val="0"/>
                  <w:vAlign w:val="center"/>
                </w:tcPr>
                <w:p w14:paraId="2497252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维护</w:t>
                  </w:r>
                </w:p>
              </w:tc>
              <w:tc>
                <w:tcPr>
                  <w:tcW w:w="2225" w:type="dxa"/>
                  <w:gridSpan w:val="3"/>
                  <w:tcBorders>
                    <w:tl2br w:val="nil"/>
                    <w:tr2bl w:val="nil"/>
                  </w:tcBorders>
                  <w:noWrap w:val="0"/>
                  <w:vAlign w:val="center"/>
                </w:tcPr>
                <w:p w14:paraId="4DEC98F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电池浮充</w:t>
                  </w:r>
                </w:p>
              </w:tc>
              <w:tc>
                <w:tcPr>
                  <w:tcW w:w="640" w:type="dxa"/>
                  <w:tcBorders>
                    <w:tl2br w:val="nil"/>
                    <w:tr2bl w:val="nil"/>
                  </w:tcBorders>
                  <w:noWrap w:val="0"/>
                  <w:vAlign w:val="center"/>
                </w:tcPr>
                <w:p w14:paraId="390ED92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B8D95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充放电</w:t>
                  </w:r>
                </w:p>
              </w:tc>
            </w:tr>
            <w:tr w14:paraId="6B659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728" w:hRule="atLeast"/>
                <w:jc w:val="center"/>
              </w:trPr>
              <w:tc>
                <w:tcPr>
                  <w:tcW w:w="628" w:type="dxa"/>
                  <w:vMerge w:val="continue"/>
                  <w:tcBorders>
                    <w:tl2br w:val="nil"/>
                    <w:tr2bl w:val="nil"/>
                  </w:tcBorders>
                  <w:noWrap w:val="0"/>
                  <w:vAlign w:val="center"/>
                </w:tcPr>
                <w:p w14:paraId="00B8672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7351F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5216FC4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7763555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直流绝缘监测装置效验</w:t>
                  </w:r>
                </w:p>
              </w:tc>
              <w:tc>
                <w:tcPr>
                  <w:tcW w:w="640" w:type="dxa"/>
                  <w:tcBorders>
                    <w:tl2br w:val="nil"/>
                    <w:tr2bl w:val="nil"/>
                  </w:tcBorders>
                  <w:noWrap w:val="0"/>
                  <w:vAlign w:val="center"/>
                </w:tcPr>
                <w:p w14:paraId="29B8230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502D162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正确动作</w:t>
                  </w:r>
                </w:p>
              </w:tc>
            </w:tr>
            <w:tr w14:paraId="3DD96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13" w:hRule="atLeast"/>
                <w:jc w:val="center"/>
              </w:trPr>
              <w:tc>
                <w:tcPr>
                  <w:tcW w:w="628" w:type="dxa"/>
                  <w:vMerge w:val="continue"/>
                  <w:tcBorders>
                    <w:tl2br w:val="nil"/>
                    <w:tr2bl w:val="nil"/>
                  </w:tcBorders>
                  <w:noWrap w:val="0"/>
                  <w:vAlign w:val="center"/>
                </w:tcPr>
                <w:p w14:paraId="6DAA8AF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2B564A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669066B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50F6E30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电池容量</w:t>
                  </w:r>
                </w:p>
              </w:tc>
              <w:tc>
                <w:tcPr>
                  <w:tcW w:w="640" w:type="dxa"/>
                  <w:tcBorders>
                    <w:tl2br w:val="nil"/>
                    <w:tr2bl w:val="nil"/>
                  </w:tcBorders>
                  <w:noWrap w:val="0"/>
                  <w:vAlign w:val="center"/>
                </w:tcPr>
                <w:p w14:paraId="5EB3C4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6B3C47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符合制造厂商</w:t>
                  </w:r>
                </w:p>
              </w:tc>
            </w:tr>
            <w:tr w14:paraId="2EF48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605" w:hRule="atLeast"/>
                <w:jc w:val="center"/>
              </w:trPr>
              <w:tc>
                <w:tcPr>
                  <w:tcW w:w="628" w:type="dxa"/>
                  <w:vMerge w:val="continue"/>
                  <w:tcBorders>
                    <w:tl2br w:val="nil"/>
                    <w:tr2bl w:val="nil"/>
                  </w:tcBorders>
                  <w:noWrap w:val="0"/>
                  <w:vAlign w:val="center"/>
                </w:tcPr>
                <w:p w14:paraId="475C08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C0AB9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241E1F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0986D1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信号屏</w:t>
                  </w:r>
                </w:p>
                <w:p w14:paraId="44B1519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640" w:type="dxa"/>
                  <w:tcBorders>
                    <w:tl2br w:val="nil"/>
                    <w:tr2bl w:val="nil"/>
                  </w:tcBorders>
                  <w:noWrap w:val="0"/>
                  <w:vAlign w:val="center"/>
                </w:tcPr>
                <w:p w14:paraId="6E34663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3466BB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信号回路正常，功能完善</w:t>
                  </w:r>
                </w:p>
              </w:tc>
            </w:tr>
            <w:tr w14:paraId="24C74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1067" w:hRule="atLeast"/>
                <w:jc w:val="center"/>
              </w:trPr>
              <w:tc>
                <w:tcPr>
                  <w:tcW w:w="628" w:type="dxa"/>
                  <w:tcBorders>
                    <w:tl2br w:val="nil"/>
                    <w:tr2bl w:val="nil"/>
                  </w:tcBorders>
                  <w:noWrap w:val="0"/>
                  <w:vAlign w:val="center"/>
                </w:tcPr>
                <w:p w14:paraId="5AF0B4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5</w:t>
                  </w:r>
                </w:p>
              </w:tc>
              <w:tc>
                <w:tcPr>
                  <w:tcW w:w="675" w:type="dxa"/>
                  <w:tcBorders>
                    <w:tl2br w:val="nil"/>
                    <w:tr2bl w:val="nil"/>
                  </w:tcBorders>
                  <w:noWrap w:val="0"/>
                  <w:vAlign w:val="center"/>
                </w:tcPr>
                <w:p w14:paraId="04F430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母线桥</w:t>
                  </w:r>
                </w:p>
              </w:tc>
              <w:tc>
                <w:tcPr>
                  <w:tcW w:w="846" w:type="dxa"/>
                  <w:gridSpan w:val="2"/>
                  <w:tcBorders>
                    <w:tl2br w:val="nil"/>
                    <w:tr2bl w:val="nil"/>
                  </w:tcBorders>
                  <w:noWrap w:val="0"/>
                  <w:vAlign w:val="center"/>
                </w:tcPr>
                <w:p w14:paraId="1E9A9E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维护实验</w:t>
                  </w:r>
                </w:p>
              </w:tc>
              <w:tc>
                <w:tcPr>
                  <w:tcW w:w="2225" w:type="dxa"/>
                  <w:gridSpan w:val="3"/>
                  <w:tcBorders>
                    <w:tl2br w:val="nil"/>
                    <w:tr2bl w:val="nil"/>
                  </w:tcBorders>
                  <w:noWrap w:val="0"/>
                  <w:vAlign w:val="center"/>
                </w:tcPr>
                <w:p w14:paraId="6C59148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母排检查紧固，桥架的检查紧固，支撑件完好，耐压试验；</w:t>
                  </w:r>
                </w:p>
              </w:tc>
              <w:tc>
                <w:tcPr>
                  <w:tcW w:w="640" w:type="dxa"/>
                  <w:tcBorders>
                    <w:tl2br w:val="nil"/>
                    <w:tr2bl w:val="nil"/>
                  </w:tcBorders>
                  <w:noWrap w:val="0"/>
                  <w:vAlign w:val="center"/>
                </w:tcPr>
                <w:p w14:paraId="6FC13CC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51EDD49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符合要求</w:t>
                  </w:r>
                </w:p>
              </w:tc>
            </w:tr>
            <w:tr w14:paraId="2D202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859" w:hRule="atLeast"/>
                <w:jc w:val="center"/>
              </w:trPr>
              <w:tc>
                <w:tcPr>
                  <w:tcW w:w="628" w:type="dxa"/>
                  <w:vMerge w:val="restart"/>
                  <w:tcBorders>
                    <w:tl2br w:val="nil"/>
                    <w:tr2bl w:val="nil"/>
                  </w:tcBorders>
                  <w:noWrap w:val="0"/>
                  <w:vAlign w:val="center"/>
                </w:tcPr>
                <w:p w14:paraId="4ABCFEE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p w14:paraId="3615EF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6</w:t>
                  </w:r>
                </w:p>
              </w:tc>
              <w:tc>
                <w:tcPr>
                  <w:tcW w:w="675" w:type="dxa"/>
                  <w:vMerge w:val="restart"/>
                  <w:tcBorders>
                    <w:tl2br w:val="nil"/>
                    <w:tr2bl w:val="nil"/>
                  </w:tcBorders>
                  <w:noWrap w:val="0"/>
                  <w:vAlign w:val="center"/>
                </w:tcPr>
                <w:p w14:paraId="3F959F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p w14:paraId="2B418E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p w14:paraId="2B927E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配电室</w:t>
                  </w:r>
                </w:p>
              </w:tc>
              <w:tc>
                <w:tcPr>
                  <w:tcW w:w="846" w:type="dxa"/>
                  <w:gridSpan w:val="2"/>
                  <w:vMerge w:val="restart"/>
                  <w:tcBorders>
                    <w:tl2br w:val="nil"/>
                    <w:tr2bl w:val="nil"/>
                  </w:tcBorders>
                  <w:noWrap w:val="0"/>
                  <w:vAlign w:val="center"/>
                </w:tcPr>
                <w:p w14:paraId="62793F1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p w14:paraId="579C3B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p w14:paraId="15649E9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巡检</w:t>
                  </w:r>
                </w:p>
              </w:tc>
              <w:tc>
                <w:tcPr>
                  <w:tcW w:w="2225" w:type="dxa"/>
                  <w:gridSpan w:val="3"/>
                  <w:tcBorders>
                    <w:tl2br w:val="nil"/>
                    <w:tr2bl w:val="nil"/>
                  </w:tcBorders>
                  <w:noWrap w:val="0"/>
                  <w:vAlign w:val="center"/>
                </w:tcPr>
                <w:p w14:paraId="2C99D9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防鼠检查</w:t>
                  </w:r>
                </w:p>
              </w:tc>
              <w:tc>
                <w:tcPr>
                  <w:tcW w:w="640" w:type="dxa"/>
                  <w:tcBorders>
                    <w:tl2br w:val="nil"/>
                    <w:tr2bl w:val="nil"/>
                  </w:tcBorders>
                  <w:noWrap w:val="0"/>
                  <w:vAlign w:val="center"/>
                </w:tcPr>
                <w:p w14:paraId="415D8C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567304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挡鼠板完整，空洞封堵完全，鼠饵投放到位</w:t>
                  </w:r>
                </w:p>
              </w:tc>
            </w:tr>
            <w:tr w14:paraId="41086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603" w:hRule="atLeast"/>
                <w:jc w:val="center"/>
              </w:trPr>
              <w:tc>
                <w:tcPr>
                  <w:tcW w:w="628" w:type="dxa"/>
                  <w:vMerge w:val="continue"/>
                  <w:tcBorders>
                    <w:tl2br w:val="nil"/>
                    <w:tr2bl w:val="nil"/>
                  </w:tcBorders>
                  <w:noWrap w:val="0"/>
                  <w:vAlign w:val="center"/>
                </w:tcPr>
                <w:p w14:paraId="047CAD3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11ED8F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189694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6C9DA9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卫生检查</w:t>
                  </w:r>
                </w:p>
              </w:tc>
              <w:tc>
                <w:tcPr>
                  <w:tcW w:w="640" w:type="dxa"/>
                  <w:tcBorders>
                    <w:tl2br w:val="nil"/>
                    <w:tr2bl w:val="nil"/>
                  </w:tcBorders>
                  <w:noWrap w:val="0"/>
                  <w:vAlign w:val="center"/>
                </w:tcPr>
                <w:p w14:paraId="673D19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5E32D3E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无杂物，安全器具操作手柄放于文件柜，地面无积尘</w:t>
                  </w:r>
                </w:p>
              </w:tc>
            </w:tr>
            <w:tr w14:paraId="58477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187" w:hRule="atLeast"/>
                <w:jc w:val="center"/>
              </w:trPr>
              <w:tc>
                <w:tcPr>
                  <w:tcW w:w="628" w:type="dxa"/>
                  <w:vMerge w:val="continue"/>
                  <w:tcBorders>
                    <w:tl2br w:val="nil"/>
                    <w:tr2bl w:val="nil"/>
                  </w:tcBorders>
                  <w:noWrap w:val="0"/>
                  <w:vAlign w:val="center"/>
                </w:tcPr>
                <w:p w14:paraId="44D4686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B03E1B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7F534F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44C130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防火检查</w:t>
                  </w:r>
                </w:p>
              </w:tc>
              <w:tc>
                <w:tcPr>
                  <w:tcW w:w="640" w:type="dxa"/>
                  <w:tcBorders>
                    <w:tl2br w:val="nil"/>
                    <w:tr2bl w:val="nil"/>
                  </w:tcBorders>
                  <w:noWrap w:val="0"/>
                  <w:vAlign w:val="center"/>
                </w:tcPr>
                <w:p w14:paraId="4E10B00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071FFAB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消防器材检验合格，无易燃物体</w:t>
                  </w:r>
                </w:p>
              </w:tc>
            </w:tr>
            <w:tr w14:paraId="3F09B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187" w:hRule="atLeast"/>
                <w:jc w:val="center"/>
              </w:trPr>
              <w:tc>
                <w:tcPr>
                  <w:tcW w:w="628" w:type="dxa"/>
                  <w:vMerge w:val="continue"/>
                  <w:tcBorders>
                    <w:tl2br w:val="nil"/>
                    <w:tr2bl w:val="nil"/>
                  </w:tcBorders>
                  <w:noWrap w:val="0"/>
                  <w:vAlign w:val="center"/>
                </w:tcPr>
                <w:p w14:paraId="41C3764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840ADE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1E466D0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14D3D5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照明检查</w:t>
                  </w:r>
                </w:p>
              </w:tc>
              <w:tc>
                <w:tcPr>
                  <w:tcW w:w="640" w:type="dxa"/>
                  <w:tcBorders>
                    <w:tl2br w:val="nil"/>
                    <w:tr2bl w:val="nil"/>
                  </w:tcBorders>
                  <w:noWrap w:val="0"/>
                  <w:vAlign w:val="center"/>
                </w:tcPr>
                <w:p w14:paraId="741E26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23276E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照明正常</w:t>
                  </w:r>
                </w:p>
              </w:tc>
            </w:tr>
            <w:tr w14:paraId="0CCA8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447" w:hRule="atLeast"/>
                <w:jc w:val="center"/>
              </w:trPr>
              <w:tc>
                <w:tcPr>
                  <w:tcW w:w="628" w:type="dxa"/>
                  <w:vMerge w:val="continue"/>
                  <w:tcBorders>
                    <w:tl2br w:val="nil"/>
                    <w:tr2bl w:val="nil"/>
                  </w:tcBorders>
                  <w:noWrap w:val="0"/>
                  <w:vAlign w:val="center"/>
                </w:tcPr>
                <w:p w14:paraId="56B6F7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2F9A07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24AA1E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77EF184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通风设施</w:t>
                  </w:r>
                </w:p>
              </w:tc>
              <w:tc>
                <w:tcPr>
                  <w:tcW w:w="640" w:type="dxa"/>
                  <w:tcBorders>
                    <w:tl2br w:val="nil"/>
                    <w:tr2bl w:val="nil"/>
                  </w:tcBorders>
                  <w:noWrap w:val="0"/>
                  <w:vAlign w:val="center"/>
                </w:tcPr>
                <w:p w14:paraId="36507D4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456CB3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功能正常</w:t>
                  </w:r>
                </w:p>
              </w:tc>
            </w:tr>
            <w:tr w14:paraId="67576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505" w:hRule="atLeast"/>
                <w:jc w:val="center"/>
              </w:trPr>
              <w:tc>
                <w:tcPr>
                  <w:tcW w:w="628" w:type="dxa"/>
                  <w:vMerge w:val="continue"/>
                  <w:tcBorders>
                    <w:tl2br w:val="nil"/>
                    <w:tr2bl w:val="nil"/>
                  </w:tcBorders>
                  <w:noWrap w:val="0"/>
                  <w:vAlign w:val="center"/>
                </w:tcPr>
                <w:p w14:paraId="5DC84B8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54E709E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4432933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5C65EB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操作手柄</w:t>
                  </w:r>
                </w:p>
              </w:tc>
              <w:tc>
                <w:tcPr>
                  <w:tcW w:w="640" w:type="dxa"/>
                  <w:tcBorders>
                    <w:tl2br w:val="nil"/>
                    <w:tr2bl w:val="nil"/>
                  </w:tcBorders>
                  <w:noWrap w:val="0"/>
                  <w:vAlign w:val="center"/>
                </w:tcPr>
                <w:p w14:paraId="01EBE55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65D638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摆放是否整齐，种类是否齐全</w:t>
                  </w:r>
                </w:p>
              </w:tc>
            </w:tr>
            <w:tr w14:paraId="5EF727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505" w:hRule="atLeast"/>
                <w:jc w:val="center"/>
              </w:trPr>
              <w:tc>
                <w:tcPr>
                  <w:tcW w:w="628" w:type="dxa"/>
                  <w:vMerge w:val="continue"/>
                  <w:tcBorders>
                    <w:tl2br w:val="nil"/>
                    <w:tr2bl w:val="nil"/>
                  </w:tcBorders>
                  <w:noWrap w:val="0"/>
                  <w:vAlign w:val="center"/>
                </w:tcPr>
                <w:p w14:paraId="23A568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4A8B076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vMerge w:val="continue"/>
                  <w:tcBorders>
                    <w:tl2br w:val="nil"/>
                    <w:tr2bl w:val="nil"/>
                  </w:tcBorders>
                  <w:noWrap w:val="0"/>
                  <w:vAlign w:val="center"/>
                </w:tcPr>
                <w:p w14:paraId="5CB5AD8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2225" w:type="dxa"/>
                  <w:gridSpan w:val="3"/>
                  <w:tcBorders>
                    <w:tl2br w:val="nil"/>
                    <w:tr2bl w:val="nil"/>
                  </w:tcBorders>
                  <w:noWrap w:val="0"/>
                  <w:vAlign w:val="center"/>
                </w:tcPr>
                <w:p w14:paraId="3B7192B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安全工器具</w:t>
                  </w:r>
                </w:p>
              </w:tc>
              <w:tc>
                <w:tcPr>
                  <w:tcW w:w="640" w:type="dxa"/>
                  <w:tcBorders>
                    <w:tl2br w:val="nil"/>
                    <w:tr2bl w:val="nil"/>
                  </w:tcBorders>
                  <w:noWrap w:val="0"/>
                  <w:vAlign w:val="center"/>
                </w:tcPr>
                <w:p w14:paraId="5C90E91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276425A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按国家要求出具效验报告</w:t>
                  </w:r>
                </w:p>
              </w:tc>
            </w:tr>
            <w:tr w14:paraId="54C10E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560" w:hRule="atLeast"/>
                <w:jc w:val="center"/>
              </w:trPr>
              <w:tc>
                <w:tcPr>
                  <w:tcW w:w="628" w:type="dxa"/>
                  <w:vMerge w:val="restart"/>
                  <w:tcBorders>
                    <w:tl2br w:val="nil"/>
                    <w:tr2bl w:val="nil"/>
                  </w:tcBorders>
                  <w:noWrap w:val="0"/>
                  <w:vAlign w:val="center"/>
                </w:tcPr>
                <w:p w14:paraId="71AE184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7</w:t>
                  </w:r>
                </w:p>
              </w:tc>
              <w:tc>
                <w:tcPr>
                  <w:tcW w:w="675" w:type="dxa"/>
                  <w:vMerge w:val="restart"/>
                  <w:tcBorders>
                    <w:tl2br w:val="nil"/>
                    <w:tr2bl w:val="nil"/>
                  </w:tcBorders>
                  <w:noWrap w:val="0"/>
                  <w:vAlign w:val="center"/>
                </w:tcPr>
                <w:p w14:paraId="2F6113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内部电缆</w:t>
                  </w:r>
                </w:p>
              </w:tc>
              <w:tc>
                <w:tcPr>
                  <w:tcW w:w="846" w:type="dxa"/>
                  <w:gridSpan w:val="2"/>
                  <w:tcBorders>
                    <w:tl2br w:val="nil"/>
                    <w:tr2bl w:val="nil"/>
                  </w:tcBorders>
                  <w:noWrap w:val="0"/>
                  <w:vAlign w:val="center"/>
                </w:tcPr>
                <w:p w14:paraId="527DC91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维护实验</w:t>
                  </w:r>
                </w:p>
              </w:tc>
              <w:tc>
                <w:tcPr>
                  <w:tcW w:w="2225" w:type="dxa"/>
                  <w:gridSpan w:val="3"/>
                  <w:tcBorders>
                    <w:tl2br w:val="nil"/>
                    <w:tr2bl w:val="nil"/>
                  </w:tcBorders>
                  <w:noWrap w:val="0"/>
                  <w:vAlign w:val="center"/>
                </w:tcPr>
                <w:p w14:paraId="77887B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耐压试验</w:t>
                  </w:r>
                </w:p>
              </w:tc>
              <w:tc>
                <w:tcPr>
                  <w:tcW w:w="640" w:type="dxa"/>
                  <w:tcBorders>
                    <w:tl2br w:val="nil"/>
                    <w:tr2bl w:val="nil"/>
                  </w:tcBorders>
                  <w:noWrap w:val="0"/>
                  <w:vAlign w:val="center"/>
                </w:tcPr>
                <w:p w14:paraId="17669CA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一年</w:t>
                  </w:r>
                </w:p>
              </w:tc>
              <w:tc>
                <w:tcPr>
                  <w:tcW w:w="2235" w:type="dxa"/>
                  <w:tcBorders>
                    <w:tl2br w:val="nil"/>
                    <w:tr2bl w:val="nil"/>
                  </w:tcBorders>
                  <w:noWrap w:val="0"/>
                  <w:vAlign w:val="center"/>
                </w:tcPr>
                <w:p w14:paraId="169AFF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无击穿、无放电现象</w:t>
                  </w:r>
                </w:p>
              </w:tc>
            </w:tr>
            <w:tr w14:paraId="7F6E7B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gridAfter w:val="1"/>
                <w:wAfter w:w="8" w:type="dxa"/>
                <w:trHeight w:val="800" w:hRule="atLeast"/>
                <w:jc w:val="center"/>
              </w:trPr>
              <w:tc>
                <w:tcPr>
                  <w:tcW w:w="628" w:type="dxa"/>
                  <w:vMerge w:val="continue"/>
                  <w:tcBorders>
                    <w:tl2br w:val="nil"/>
                    <w:tr2bl w:val="nil"/>
                  </w:tcBorders>
                  <w:noWrap w:val="0"/>
                  <w:vAlign w:val="center"/>
                </w:tcPr>
                <w:p w14:paraId="2E0159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675" w:type="dxa"/>
                  <w:vMerge w:val="continue"/>
                  <w:tcBorders>
                    <w:tl2br w:val="nil"/>
                    <w:tr2bl w:val="nil"/>
                  </w:tcBorders>
                  <w:noWrap w:val="0"/>
                  <w:vAlign w:val="center"/>
                </w:tcPr>
                <w:p w14:paraId="7B1C2CF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p>
              </w:tc>
              <w:tc>
                <w:tcPr>
                  <w:tcW w:w="846" w:type="dxa"/>
                  <w:gridSpan w:val="2"/>
                  <w:tcBorders>
                    <w:tl2br w:val="nil"/>
                    <w:tr2bl w:val="nil"/>
                  </w:tcBorders>
                  <w:noWrap w:val="0"/>
                  <w:vAlign w:val="center"/>
                </w:tcPr>
                <w:p w14:paraId="65040B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巡检</w:t>
                  </w:r>
                </w:p>
              </w:tc>
              <w:tc>
                <w:tcPr>
                  <w:tcW w:w="2225" w:type="dxa"/>
                  <w:gridSpan w:val="3"/>
                  <w:tcBorders>
                    <w:tl2br w:val="nil"/>
                    <w:tr2bl w:val="nil"/>
                  </w:tcBorders>
                  <w:noWrap w:val="0"/>
                  <w:vAlign w:val="center"/>
                </w:tcPr>
                <w:p w14:paraId="59737D6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电缆头连接螺栓，电缆支撑牢靠紧固。</w:t>
                  </w:r>
                </w:p>
              </w:tc>
              <w:tc>
                <w:tcPr>
                  <w:tcW w:w="640" w:type="dxa"/>
                  <w:tcBorders>
                    <w:tl2br w:val="nil"/>
                    <w:tr2bl w:val="nil"/>
                  </w:tcBorders>
                  <w:noWrap w:val="0"/>
                  <w:vAlign w:val="center"/>
                </w:tcPr>
                <w:p w14:paraId="77E274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15天</w:t>
                  </w:r>
                </w:p>
              </w:tc>
              <w:tc>
                <w:tcPr>
                  <w:tcW w:w="2235" w:type="dxa"/>
                  <w:tcBorders>
                    <w:tl2br w:val="nil"/>
                    <w:tr2bl w:val="nil"/>
                  </w:tcBorders>
                  <w:noWrap w:val="0"/>
                  <w:vAlign w:val="center"/>
                </w:tcPr>
                <w:p w14:paraId="3A4321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0"/>
                      <w:szCs w:val="20"/>
                    </w:rPr>
                  </w:pPr>
                  <w:r>
                    <w:rPr>
                      <w:rFonts w:hint="eastAsia" w:ascii="仿宋" w:hAnsi="仿宋" w:eastAsia="仿宋" w:cs="仿宋"/>
                      <w:color w:val="000000"/>
                      <w:sz w:val="20"/>
                      <w:szCs w:val="20"/>
                    </w:rPr>
                    <w:t>有无放电，爬电，发热现象。</w:t>
                  </w:r>
                </w:p>
              </w:tc>
            </w:tr>
          </w:tbl>
          <w:p w14:paraId="54DC5613">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p>
          <w:p w14:paraId="7B5D2EE3">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3给排水系统</w:t>
            </w:r>
          </w:p>
          <w:p w14:paraId="724E4C17">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3.1室内外给排水设施设备、管网、用水终端等的日常巡查、检修、维护与管理。</w:t>
            </w:r>
          </w:p>
          <w:p w14:paraId="5BB5DE9C">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3.2卫生洁具、地漏、洗浴设施的维护、维修。</w:t>
            </w:r>
          </w:p>
          <w:p w14:paraId="76D00FA7">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3.3各楼栋冷水供水设施生活水箱、无负压供水设备、水泵控制柜、污水泵等及自动装置设备每日巡检不少于1次，发现问题及时汇报；</w:t>
            </w:r>
          </w:p>
          <w:p w14:paraId="7B558277">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3.4室内外管网的日常巡查、维护与管理。</w:t>
            </w:r>
          </w:p>
          <w:p w14:paraId="1A18D111">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3.5所有管网供水 “跑、冒、滴、漏”现象原因的查明及涉及维保范围内管网的处理。</w:t>
            </w:r>
          </w:p>
          <w:p w14:paraId="6741157D">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3.6突发全院大面积停水事件的应急处置。</w:t>
            </w:r>
          </w:p>
          <w:p w14:paraId="3F33EB70">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3.7做好水泵间日常清扫、巡查、维护与设备台账管理等工作。</w:t>
            </w:r>
          </w:p>
          <w:p w14:paraId="7B7E6898">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3.8雨季院区突发室外大面积积水、室内无法排水的应急处置。</w:t>
            </w:r>
          </w:p>
          <w:p w14:paraId="644C3125">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生活水系统定期维护保养计划及标准</w:t>
            </w:r>
          </w:p>
          <w:tbl>
            <w:tblPr>
              <w:tblStyle w:val="3"/>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516"/>
              <w:gridCol w:w="1461"/>
              <w:gridCol w:w="875"/>
              <w:gridCol w:w="3896"/>
            </w:tblGrid>
            <w:tr w14:paraId="45D32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noWrap/>
                  <w:vAlign w:val="center"/>
                </w:tcPr>
                <w:p w14:paraId="219D68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序号</w:t>
                  </w:r>
                </w:p>
              </w:tc>
              <w:tc>
                <w:tcPr>
                  <w:tcW w:w="1977" w:type="dxa"/>
                  <w:gridSpan w:val="2"/>
                  <w:noWrap/>
                  <w:vAlign w:val="center"/>
                </w:tcPr>
                <w:p w14:paraId="0D7103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检查项目名称</w:t>
                  </w:r>
                </w:p>
              </w:tc>
              <w:tc>
                <w:tcPr>
                  <w:tcW w:w="875" w:type="dxa"/>
                  <w:noWrap/>
                  <w:vAlign w:val="center"/>
                </w:tcPr>
                <w:p w14:paraId="0BFEB0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检查周期</w:t>
                  </w:r>
                </w:p>
              </w:tc>
              <w:tc>
                <w:tcPr>
                  <w:tcW w:w="3896" w:type="dxa"/>
                  <w:noWrap/>
                  <w:vAlign w:val="center"/>
                </w:tcPr>
                <w:p w14:paraId="135AAC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检查标准</w:t>
                  </w:r>
                </w:p>
              </w:tc>
            </w:tr>
            <w:tr w14:paraId="07C9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noWrap/>
                  <w:vAlign w:val="center"/>
                </w:tcPr>
                <w:p w14:paraId="3115B7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516" w:type="dxa"/>
                  <w:vMerge w:val="restart"/>
                  <w:noWrap/>
                  <w:vAlign w:val="center"/>
                </w:tcPr>
                <w:p w14:paraId="21AF04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给水设备</w:t>
                  </w:r>
                </w:p>
              </w:tc>
              <w:tc>
                <w:tcPr>
                  <w:tcW w:w="1461" w:type="dxa"/>
                  <w:noWrap/>
                  <w:vAlign w:val="center"/>
                </w:tcPr>
                <w:p w14:paraId="6D7B18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生活水渠外观</w:t>
                  </w:r>
                </w:p>
              </w:tc>
              <w:tc>
                <w:tcPr>
                  <w:tcW w:w="875" w:type="dxa"/>
                  <w:noWrap/>
                  <w:vAlign w:val="center"/>
                </w:tcPr>
                <w:p w14:paraId="6B709D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896" w:type="dxa"/>
                  <w:noWrap/>
                  <w:vAlign w:val="center"/>
                </w:tcPr>
                <w:p w14:paraId="582CC1A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外表清洁，无锈蚀损坏</w:t>
                  </w:r>
                </w:p>
                <w:p w14:paraId="455516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螺栓，螺丝无松动断裂</w:t>
                  </w:r>
                </w:p>
              </w:tc>
            </w:tr>
            <w:tr w14:paraId="7954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2C11DD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25EFF2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vMerge w:val="restart"/>
                  <w:noWrap/>
                  <w:vAlign w:val="center"/>
                </w:tcPr>
                <w:p w14:paraId="57D011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电机（机械部分）</w:t>
                  </w:r>
                </w:p>
              </w:tc>
              <w:tc>
                <w:tcPr>
                  <w:tcW w:w="875" w:type="dxa"/>
                  <w:noWrap/>
                  <w:vAlign w:val="center"/>
                </w:tcPr>
                <w:p w14:paraId="326926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896" w:type="dxa"/>
                  <w:noWrap/>
                  <w:vAlign w:val="center"/>
                </w:tcPr>
                <w:p w14:paraId="08CC590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运行过程中无异常震动、无噪音</w:t>
                  </w:r>
                </w:p>
                <w:p w14:paraId="0194AD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电机及轴承温升正常</w:t>
                  </w:r>
                </w:p>
              </w:tc>
            </w:tr>
            <w:tr w14:paraId="62D12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34C195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50C3EE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vMerge w:val="continue"/>
                  <w:noWrap/>
                  <w:vAlign w:val="center"/>
                </w:tcPr>
                <w:p w14:paraId="225BB2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875" w:type="dxa"/>
                  <w:noWrap/>
                  <w:vAlign w:val="center"/>
                </w:tcPr>
                <w:p w14:paraId="065865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6～8个月</w:t>
                  </w:r>
                </w:p>
              </w:tc>
              <w:tc>
                <w:tcPr>
                  <w:tcW w:w="3896" w:type="dxa"/>
                  <w:noWrap/>
                  <w:vAlign w:val="center"/>
                </w:tcPr>
                <w:p w14:paraId="79D8C2C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轴承体清洁，加润滑油（脂）</w:t>
                  </w:r>
                </w:p>
                <w:p w14:paraId="25534A0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更换磨损零部件</w:t>
                  </w:r>
                </w:p>
              </w:tc>
            </w:tr>
            <w:tr w14:paraId="5F67E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5B0B05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78CEED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vMerge w:val="restart"/>
                  <w:noWrap/>
                  <w:vAlign w:val="center"/>
                </w:tcPr>
                <w:p w14:paraId="119BD9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振体</w:t>
                  </w:r>
                </w:p>
              </w:tc>
              <w:tc>
                <w:tcPr>
                  <w:tcW w:w="875" w:type="dxa"/>
                  <w:noWrap/>
                  <w:vAlign w:val="center"/>
                </w:tcPr>
                <w:p w14:paraId="7BCD7A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896" w:type="dxa"/>
                  <w:noWrap/>
                  <w:vAlign w:val="center"/>
                </w:tcPr>
                <w:p w14:paraId="6A5827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运行正常，无异常震动、无噪音</w:t>
                  </w:r>
                </w:p>
                <w:p w14:paraId="0FB28FA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检查轴承发热情况，无烫手现象</w:t>
                  </w:r>
                </w:p>
                <w:p w14:paraId="19CDC2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检查填料函的泄漏和发热情况，每分钟10～20滴为好</w:t>
                  </w:r>
                </w:p>
                <w:p w14:paraId="708028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检查连轴器，水泵轴心与电机轴心应重合。无运转时，用手盘动轴无卡阻现象</w:t>
                  </w:r>
                </w:p>
              </w:tc>
            </w:tr>
            <w:tr w14:paraId="3E1C0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4F526B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5330FE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vMerge w:val="continue"/>
                  <w:noWrap/>
                  <w:vAlign w:val="center"/>
                </w:tcPr>
                <w:p w14:paraId="7F4ADD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875" w:type="dxa"/>
                  <w:noWrap/>
                  <w:vAlign w:val="center"/>
                </w:tcPr>
                <w:p w14:paraId="5AF5E2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6～8个月</w:t>
                  </w:r>
                </w:p>
              </w:tc>
              <w:tc>
                <w:tcPr>
                  <w:tcW w:w="3896" w:type="dxa"/>
                  <w:noWrap/>
                  <w:vAlign w:val="center"/>
                </w:tcPr>
                <w:p w14:paraId="5BD1F0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轴承体清洗，加润滑油（脂）</w:t>
                  </w:r>
                </w:p>
                <w:p w14:paraId="0F4B221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更换磨损零部件</w:t>
                  </w:r>
                </w:p>
              </w:tc>
            </w:tr>
            <w:tr w14:paraId="3AF9D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03D9E8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11215A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vMerge w:val="continue"/>
                  <w:noWrap/>
                  <w:vAlign w:val="center"/>
                </w:tcPr>
                <w:p w14:paraId="37DAF3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875" w:type="dxa"/>
                  <w:noWrap/>
                  <w:vAlign w:val="center"/>
                </w:tcPr>
                <w:p w14:paraId="147374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3～5年</w:t>
                  </w:r>
                </w:p>
              </w:tc>
              <w:tc>
                <w:tcPr>
                  <w:tcW w:w="3896" w:type="dxa"/>
                  <w:noWrap/>
                  <w:vAlign w:val="center"/>
                </w:tcPr>
                <w:p w14:paraId="4ACA594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打开泵孟，检查内芯掌部件状况，检查其磨损腐蚀和冲刷程度，必要时进行更换</w:t>
                  </w:r>
                </w:p>
              </w:tc>
            </w:tr>
            <w:tr w14:paraId="46F9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6BEAB0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549C05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7E6F0D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减压阀、水锤消失器</w:t>
                  </w:r>
                </w:p>
              </w:tc>
              <w:tc>
                <w:tcPr>
                  <w:tcW w:w="875" w:type="dxa"/>
                  <w:noWrap/>
                  <w:vAlign w:val="center"/>
                </w:tcPr>
                <w:p w14:paraId="4AD8C4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3个月</w:t>
                  </w:r>
                </w:p>
              </w:tc>
              <w:tc>
                <w:tcPr>
                  <w:tcW w:w="3896" w:type="dxa"/>
                  <w:noWrap/>
                  <w:vAlign w:val="center"/>
                </w:tcPr>
                <w:p w14:paraId="75A52B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动作灵敏、准确</w:t>
                  </w:r>
                </w:p>
                <w:p w14:paraId="69230E5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无锈蚀、无堵塞</w:t>
                  </w:r>
                </w:p>
              </w:tc>
            </w:tr>
            <w:tr w14:paraId="6CEAC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64DAD1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0BA678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0091E9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止回阀、浮球阀、排气阀</w:t>
                  </w:r>
                </w:p>
              </w:tc>
              <w:tc>
                <w:tcPr>
                  <w:tcW w:w="875" w:type="dxa"/>
                  <w:noWrap/>
                  <w:vAlign w:val="center"/>
                </w:tcPr>
                <w:p w14:paraId="0A7604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896" w:type="dxa"/>
                  <w:noWrap/>
                  <w:vAlign w:val="center"/>
                </w:tcPr>
                <w:p w14:paraId="77A677E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动作灵敏、准确</w:t>
                  </w:r>
                </w:p>
                <w:p w14:paraId="5011869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无锈蚀、无堵塞、无滴漏</w:t>
                  </w:r>
                </w:p>
              </w:tc>
            </w:tr>
            <w:tr w14:paraId="5C940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43DBD9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225474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54C137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闸、阀、截止阀</w:t>
                  </w:r>
                </w:p>
              </w:tc>
              <w:tc>
                <w:tcPr>
                  <w:tcW w:w="875" w:type="dxa"/>
                  <w:noWrap/>
                  <w:vAlign w:val="center"/>
                </w:tcPr>
                <w:p w14:paraId="7388F9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896" w:type="dxa"/>
                  <w:noWrap/>
                  <w:vAlign w:val="center"/>
                </w:tcPr>
                <w:p w14:paraId="6829B0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启动灵活，无锈蚀</w:t>
                  </w:r>
                </w:p>
                <w:p w14:paraId="422BED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无滴漏</w:t>
                  </w:r>
                </w:p>
              </w:tc>
            </w:tr>
            <w:tr w14:paraId="681B2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052FDA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7F7431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3DA4E9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水嘴</w:t>
                  </w:r>
                </w:p>
              </w:tc>
              <w:tc>
                <w:tcPr>
                  <w:tcW w:w="875" w:type="dxa"/>
                  <w:noWrap/>
                  <w:vAlign w:val="center"/>
                </w:tcPr>
                <w:p w14:paraId="6DE388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896" w:type="dxa"/>
                  <w:noWrap/>
                  <w:vAlign w:val="center"/>
                </w:tcPr>
                <w:p w14:paraId="1B6562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水嘴齐全，无锈蚀、无损坏</w:t>
                  </w:r>
                </w:p>
                <w:p w14:paraId="49AA43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无滴漏</w:t>
                  </w:r>
                </w:p>
              </w:tc>
            </w:tr>
            <w:tr w14:paraId="5DB74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525801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78910A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1ABB3F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压力表</w:t>
                  </w:r>
                </w:p>
              </w:tc>
              <w:tc>
                <w:tcPr>
                  <w:tcW w:w="875" w:type="dxa"/>
                  <w:noWrap/>
                  <w:vAlign w:val="center"/>
                </w:tcPr>
                <w:p w14:paraId="23AB86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3个月</w:t>
                  </w:r>
                </w:p>
              </w:tc>
              <w:tc>
                <w:tcPr>
                  <w:tcW w:w="3896" w:type="dxa"/>
                  <w:noWrap/>
                  <w:vAlign w:val="center"/>
                </w:tcPr>
                <w:p w14:paraId="3BC3445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表壳完整无损，连接牢固，表面清洁</w:t>
                  </w:r>
                </w:p>
                <w:p w14:paraId="661BBD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指针灵敏，读数准确</w:t>
                  </w:r>
                </w:p>
              </w:tc>
            </w:tr>
            <w:tr w14:paraId="21596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046436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63DF4E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52732C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水表</w:t>
                  </w:r>
                </w:p>
              </w:tc>
              <w:tc>
                <w:tcPr>
                  <w:tcW w:w="875" w:type="dxa"/>
                  <w:noWrap/>
                  <w:vAlign w:val="center"/>
                </w:tcPr>
                <w:p w14:paraId="625FA0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896" w:type="dxa"/>
                  <w:noWrap/>
                  <w:vAlign w:val="center"/>
                </w:tcPr>
                <w:p w14:paraId="2E8EB5C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表壳完整，指针灵敏、读数准确</w:t>
                  </w:r>
                </w:p>
                <w:p w14:paraId="19EB5FD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无锈蚀，表面清洁、无滴漏</w:t>
                  </w:r>
                </w:p>
              </w:tc>
            </w:tr>
            <w:tr w14:paraId="772EC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586" w:type="dxa"/>
                  <w:vMerge w:val="continue"/>
                  <w:noWrap/>
                  <w:vAlign w:val="center"/>
                </w:tcPr>
                <w:p w14:paraId="37C237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47C444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30B12B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各井室</w:t>
                  </w:r>
                </w:p>
              </w:tc>
              <w:tc>
                <w:tcPr>
                  <w:tcW w:w="875" w:type="dxa"/>
                  <w:noWrap/>
                  <w:vAlign w:val="center"/>
                </w:tcPr>
                <w:p w14:paraId="170D65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896" w:type="dxa"/>
                  <w:noWrap/>
                  <w:vAlign w:val="center"/>
                </w:tcPr>
                <w:p w14:paraId="672060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井盖、井裙完整、启闭方便</w:t>
                  </w:r>
                </w:p>
                <w:p w14:paraId="4FBE16F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爬梯牢固，井底干净</w:t>
                  </w:r>
                </w:p>
              </w:tc>
            </w:tr>
            <w:tr w14:paraId="337C9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586" w:type="dxa"/>
                  <w:vMerge w:val="restart"/>
                  <w:noWrap/>
                  <w:vAlign w:val="center"/>
                </w:tcPr>
                <w:p w14:paraId="18F648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516" w:type="dxa"/>
                  <w:vMerge w:val="restart"/>
                  <w:noWrap/>
                  <w:vAlign w:val="center"/>
                </w:tcPr>
                <w:p w14:paraId="5C6539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给水管理</w:t>
                  </w:r>
                </w:p>
              </w:tc>
              <w:tc>
                <w:tcPr>
                  <w:tcW w:w="1461" w:type="dxa"/>
                  <w:noWrap/>
                  <w:vAlign w:val="center"/>
                </w:tcPr>
                <w:p w14:paraId="6F0A96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生活给水管理</w:t>
                  </w:r>
                </w:p>
              </w:tc>
              <w:tc>
                <w:tcPr>
                  <w:tcW w:w="875" w:type="dxa"/>
                  <w:noWrap/>
                  <w:vAlign w:val="center"/>
                </w:tcPr>
                <w:p w14:paraId="461D64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896" w:type="dxa"/>
                  <w:noWrap/>
                  <w:vAlign w:val="center"/>
                </w:tcPr>
                <w:p w14:paraId="17E3E0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水流要畅通，无堵塞</w:t>
                  </w:r>
                </w:p>
                <w:p w14:paraId="5D2D4E8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管道连接部分要严实</w:t>
                  </w:r>
                </w:p>
                <w:p w14:paraId="6008BF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无锈蚀，无跑、冒、滴、漏现象</w:t>
                  </w:r>
                </w:p>
              </w:tc>
            </w:tr>
            <w:tr w14:paraId="5E65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noWrap/>
                  <w:vAlign w:val="center"/>
                </w:tcPr>
                <w:p w14:paraId="0AB987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516" w:type="dxa"/>
                  <w:vMerge w:val="continue"/>
                  <w:noWrap/>
                  <w:vAlign w:val="center"/>
                </w:tcPr>
                <w:p w14:paraId="6711FA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461" w:type="dxa"/>
                  <w:noWrap/>
                  <w:vAlign w:val="center"/>
                </w:tcPr>
                <w:p w14:paraId="57E0AF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管道吊支架、管卡</w:t>
                  </w:r>
                </w:p>
              </w:tc>
              <w:tc>
                <w:tcPr>
                  <w:tcW w:w="875" w:type="dxa"/>
                  <w:noWrap/>
                  <w:vAlign w:val="center"/>
                </w:tcPr>
                <w:p w14:paraId="34886F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896" w:type="dxa"/>
                  <w:noWrap/>
                  <w:vAlign w:val="center"/>
                </w:tcPr>
                <w:p w14:paraId="5902830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管道吊支架、管卡连接要牢固</w:t>
                  </w:r>
                </w:p>
                <w:p w14:paraId="356B8D4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表面无锈蚀</w:t>
                  </w:r>
                </w:p>
              </w:tc>
            </w:tr>
          </w:tbl>
          <w:p w14:paraId="490C8D78">
            <w:pPr>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排水系统定期维护保养计划及标准</w:t>
            </w:r>
          </w:p>
          <w:tbl>
            <w:tblPr>
              <w:tblStyle w:val="3"/>
              <w:tblW w:w="6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425"/>
              <w:gridCol w:w="1310"/>
              <w:gridCol w:w="857"/>
              <w:gridCol w:w="3691"/>
            </w:tblGrid>
            <w:tr w14:paraId="0FA18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noWrap/>
                  <w:vAlign w:val="center"/>
                </w:tcPr>
                <w:p w14:paraId="4B8FB0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序号</w:t>
                  </w:r>
                </w:p>
              </w:tc>
              <w:tc>
                <w:tcPr>
                  <w:tcW w:w="1735" w:type="dxa"/>
                  <w:gridSpan w:val="2"/>
                  <w:noWrap/>
                  <w:vAlign w:val="center"/>
                </w:tcPr>
                <w:p w14:paraId="490C1C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检查项目名称</w:t>
                  </w:r>
                </w:p>
              </w:tc>
              <w:tc>
                <w:tcPr>
                  <w:tcW w:w="857" w:type="dxa"/>
                  <w:noWrap/>
                  <w:vAlign w:val="center"/>
                </w:tcPr>
                <w:p w14:paraId="61ABBC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w:t>
                  </w:r>
                </w:p>
                <w:p w14:paraId="1DE326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周期</w:t>
                  </w:r>
                </w:p>
              </w:tc>
              <w:tc>
                <w:tcPr>
                  <w:tcW w:w="3691" w:type="dxa"/>
                  <w:noWrap/>
                  <w:vAlign w:val="center"/>
                </w:tcPr>
                <w:p w14:paraId="11285C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检查标准</w:t>
                  </w:r>
                </w:p>
              </w:tc>
            </w:tr>
            <w:tr w14:paraId="64C2B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restart"/>
                  <w:noWrap/>
                  <w:vAlign w:val="center"/>
                </w:tcPr>
                <w:p w14:paraId="059C4F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425" w:type="dxa"/>
                  <w:vMerge w:val="restart"/>
                  <w:noWrap/>
                  <w:vAlign w:val="center"/>
                </w:tcPr>
                <w:p w14:paraId="17EE89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排水设备</w:t>
                  </w:r>
                </w:p>
              </w:tc>
              <w:tc>
                <w:tcPr>
                  <w:tcW w:w="1310" w:type="dxa"/>
                  <w:noWrap/>
                  <w:vAlign w:val="center"/>
                </w:tcPr>
                <w:p w14:paraId="1547BA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排</w:t>
                  </w:r>
                  <w:r>
                    <w:rPr>
                      <w:rFonts w:hint="eastAsia" w:ascii="仿宋" w:hAnsi="仿宋" w:eastAsia="仿宋" w:cs="仿宋"/>
                      <w:color w:val="000000"/>
                      <w:sz w:val="21"/>
                      <w:szCs w:val="21"/>
                    </w:rPr>
                    <w:t>水泵</w:t>
                  </w:r>
                </w:p>
              </w:tc>
              <w:tc>
                <w:tcPr>
                  <w:tcW w:w="857" w:type="dxa"/>
                  <w:noWrap/>
                  <w:vAlign w:val="center"/>
                </w:tcPr>
                <w:p w14:paraId="55EC4F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691" w:type="dxa"/>
                  <w:noWrap/>
                  <w:vAlign w:val="center"/>
                </w:tcPr>
                <w:p w14:paraId="7FEEFED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外表、滤网、支架无严重锈蚀</w:t>
                  </w:r>
                </w:p>
                <w:p w14:paraId="3CC84F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螺栓、螺丝无松动断裂</w:t>
                  </w:r>
                </w:p>
                <w:p w14:paraId="5A87F34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水管与泵连接完好，接口无松动、泄漏</w:t>
                  </w:r>
                </w:p>
              </w:tc>
            </w:tr>
            <w:tr w14:paraId="1A4C2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6B6684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3AD328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vMerge w:val="restart"/>
                  <w:noWrap/>
                  <w:vAlign w:val="center"/>
                </w:tcPr>
                <w:p w14:paraId="57C09A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泵体</w:t>
                  </w:r>
                </w:p>
              </w:tc>
              <w:tc>
                <w:tcPr>
                  <w:tcW w:w="857" w:type="dxa"/>
                  <w:noWrap/>
                  <w:vAlign w:val="center"/>
                </w:tcPr>
                <w:p w14:paraId="5EE2A0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691" w:type="dxa"/>
                  <w:noWrap/>
                  <w:vAlign w:val="center"/>
                </w:tcPr>
                <w:p w14:paraId="0E116D2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运行正常，无异常振动、噪音，排水流畅</w:t>
                  </w:r>
                </w:p>
              </w:tc>
            </w:tr>
            <w:tr w14:paraId="6227B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59E91A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21CE5D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vMerge w:val="continue"/>
                  <w:noWrap/>
                  <w:vAlign w:val="center"/>
                </w:tcPr>
                <w:p w14:paraId="3E9BF5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857" w:type="dxa"/>
                  <w:noWrap/>
                  <w:vAlign w:val="center"/>
                </w:tcPr>
                <w:p w14:paraId="36E7B7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12～14个月</w:t>
                  </w:r>
                </w:p>
              </w:tc>
              <w:tc>
                <w:tcPr>
                  <w:tcW w:w="3691" w:type="dxa"/>
                  <w:noWrap/>
                  <w:vAlign w:val="center"/>
                </w:tcPr>
                <w:p w14:paraId="7DB1EF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检查泵内或管，无杂物堵塞</w:t>
                  </w:r>
                </w:p>
                <w:p w14:paraId="5ABDFC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更换零部件</w:t>
                  </w:r>
                </w:p>
                <w:p w14:paraId="51A047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轴承体清洗、加油</w:t>
                  </w:r>
                </w:p>
              </w:tc>
            </w:tr>
            <w:tr w14:paraId="2C4A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restart"/>
                  <w:noWrap/>
                  <w:vAlign w:val="center"/>
                </w:tcPr>
                <w:p w14:paraId="27E0D7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p>
              </w:tc>
              <w:tc>
                <w:tcPr>
                  <w:tcW w:w="425" w:type="dxa"/>
                  <w:vMerge w:val="restart"/>
                  <w:noWrap/>
                  <w:vAlign w:val="center"/>
                </w:tcPr>
                <w:p w14:paraId="0BA4DC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排水设施</w:t>
                  </w:r>
                </w:p>
              </w:tc>
              <w:tc>
                <w:tcPr>
                  <w:tcW w:w="1310" w:type="dxa"/>
                  <w:noWrap/>
                  <w:vAlign w:val="center"/>
                </w:tcPr>
                <w:p w14:paraId="2AE095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排水闸阀</w:t>
                  </w:r>
                </w:p>
              </w:tc>
              <w:tc>
                <w:tcPr>
                  <w:tcW w:w="857" w:type="dxa"/>
                  <w:noWrap/>
                  <w:vAlign w:val="center"/>
                </w:tcPr>
                <w:p w14:paraId="54032F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2E1437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阀门启闭要灵活</w:t>
                  </w:r>
                </w:p>
                <w:p w14:paraId="7560FD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阀体要完整</w:t>
                  </w:r>
                </w:p>
                <w:p w14:paraId="7B91AA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无锈蚀，无滴漏</w:t>
                  </w:r>
                </w:p>
              </w:tc>
            </w:tr>
            <w:tr w14:paraId="1AB77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6E4696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2D53EA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noWrap/>
                  <w:vAlign w:val="center"/>
                </w:tcPr>
                <w:p w14:paraId="647535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排水检卫生洁具</w:t>
                  </w:r>
                </w:p>
              </w:tc>
              <w:tc>
                <w:tcPr>
                  <w:tcW w:w="857" w:type="dxa"/>
                  <w:noWrap/>
                  <w:vAlign w:val="center"/>
                </w:tcPr>
                <w:p w14:paraId="77C6A1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日常检查</w:t>
                  </w:r>
                </w:p>
              </w:tc>
              <w:tc>
                <w:tcPr>
                  <w:tcW w:w="3691" w:type="dxa"/>
                  <w:noWrap/>
                  <w:vAlign w:val="center"/>
                </w:tcPr>
                <w:p w14:paraId="716036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检查完好</w:t>
                  </w:r>
                </w:p>
                <w:p w14:paraId="7112954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水流通</w:t>
                  </w:r>
                </w:p>
                <w:p w14:paraId="261EA6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无锈蚀，无跑、冒、滴、漏现象</w:t>
                  </w:r>
                </w:p>
              </w:tc>
            </w:tr>
            <w:tr w14:paraId="7116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0D76B4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2C39A8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noWrap/>
                  <w:vAlign w:val="center"/>
                </w:tcPr>
                <w:p w14:paraId="359C19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各井室</w:t>
                  </w:r>
                </w:p>
              </w:tc>
              <w:tc>
                <w:tcPr>
                  <w:tcW w:w="857" w:type="dxa"/>
                  <w:noWrap/>
                  <w:vAlign w:val="center"/>
                </w:tcPr>
                <w:p w14:paraId="676A09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6FB5CC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井盖完好，启闭方便，爬梯牢固</w:t>
                  </w:r>
                </w:p>
                <w:p w14:paraId="2185172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井底流槽要畅通，无沉积物堵塞</w:t>
                  </w:r>
                </w:p>
              </w:tc>
            </w:tr>
            <w:tr w14:paraId="4203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restart"/>
                  <w:noWrap/>
                  <w:vAlign w:val="center"/>
                </w:tcPr>
                <w:p w14:paraId="66029A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425" w:type="dxa"/>
                  <w:vMerge w:val="restart"/>
                  <w:noWrap/>
                  <w:vAlign w:val="center"/>
                </w:tcPr>
                <w:p w14:paraId="39A831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排水管道</w:t>
                  </w:r>
                </w:p>
              </w:tc>
              <w:tc>
                <w:tcPr>
                  <w:tcW w:w="1310" w:type="dxa"/>
                  <w:noWrap/>
                  <w:vAlign w:val="center"/>
                </w:tcPr>
                <w:p w14:paraId="43F325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室内槽水管道</w:t>
                  </w:r>
                </w:p>
              </w:tc>
              <w:tc>
                <w:tcPr>
                  <w:tcW w:w="857" w:type="dxa"/>
                  <w:noWrap/>
                  <w:vAlign w:val="center"/>
                </w:tcPr>
                <w:p w14:paraId="128305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44A1FF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保持水流畅通，无堵塞，无滴漏</w:t>
                  </w:r>
                </w:p>
              </w:tc>
            </w:tr>
            <w:tr w14:paraId="03A0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1F490C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434AC0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noWrap/>
                  <w:vAlign w:val="center"/>
                </w:tcPr>
                <w:p w14:paraId="305050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排气管</w:t>
                  </w:r>
                </w:p>
              </w:tc>
              <w:tc>
                <w:tcPr>
                  <w:tcW w:w="857" w:type="dxa"/>
                  <w:noWrap/>
                  <w:vAlign w:val="center"/>
                </w:tcPr>
                <w:p w14:paraId="117C69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393E1AC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保持管内气体及时排出</w:t>
                  </w:r>
                </w:p>
                <w:p w14:paraId="7F92D9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下水管内不准有真空</w:t>
                  </w:r>
                </w:p>
              </w:tc>
            </w:tr>
            <w:tr w14:paraId="38A9E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262841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268D49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noWrap/>
                  <w:vAlign w:val="center"/>
                </w:tcPr>
                <w:p w14:paraId="157D12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管道吊支架、管卡</w:t>
                  </w:r>
                </w:p>
              </w:tc>
              <w:tc>
                <w:tcPr>
                  <w:tcW w:w="857" w:type="dxa"/>
                  <w:noWrap/>
                  <w:vAlign w:val="center"/>
                </w:tcPr>
                <w:p w14:paraId="1EA33F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70008D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吊支架、管卡要安装牢固</w:t>
                  </w:r>
                </w:p>
              </w:tc>
            </w:tr>
            <w:tr w14:paraId="2E74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1A51F5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1B59BA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noWrap/>
                  <w:vAlign w:val="center"/>
                </w:tcPr>
                <w:p w14:paraId="138A64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室外排水管道</w:t>
                  </w:r>
                </w:p>
              </w:tc>
              <w:tc>
                <w:tcPr>
                  <w:tcW w:w="857" w:type="dxa"/>
                  <w:noWrap/>
                  <w:vAlign w:val="center"/>
                </w:tcPr>
                <w:p w14:paraId="6CF3A2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6F9A25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保持水流畅通，无堵塞</w:t>
                  </w:r>
                </w:p>
              </w:tc>
            </w:tr>
            <w:tr w14:paraId="6F73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Merge w:val="continue"/>
                  <w:noWrap/>
                  <w:vAlign w:val="center"/>
                </w:tcPr>
                <w:p w14:paraId="77E863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425" w:type="dxa"/>
                  <w:vMerge w:val="continue"/>
                  <w:noWrap/>
                  <w:vAlign w:val="center"/>
                </w:tcPr>
                <w:p w14:paraId="0B9E22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p>
              </w:tc>
              <w:tc>
                <w:tcPr>
                  <w:tcW w:w="1310" w:type="dxa"/>
                  <w:noWrap/>
                  <w:vAlign w:val="center"/>
                </w:tcPr>
                <w:p w14:paraId="79880C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各井室</w:t>
                  </w:r>
                </w:p>
              </w:tc>
              <w:tc>
                <w:tcPr>
                  <w:tcW w:w="857" w:type="dxa"/>
                  <w:noWrap/>
                  <w:vAlign w:val="center"/>
                </w:tcPr>
                <w:p w14:paraId="50D205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1个月</w:t>
                  </w:r>
                </w:p>
              </w:tc>
              <w:tc>
                <w:tcPr>
                  <w:tcW w:w="3691" w:type="dxa"/>
                  <w:noWrap/>
                  <w:vAlign w:val="center"/>
                </w:tcPr>
                <w:p w14:paraId="140C4B6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井盖完好，启闭方便，爬梯牢固，井底流槽要畅通，无积物堵塞</w:t>
                  </w:r>
                </w:p>
              </w:tc>
            </w:tr>
          </w:tbl>
          <w:p w14:paraId="15B6E45E">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设备清单</w:t>
            </w:r>
          </w:p>
          <w:tbl>
            <w:tblPr>
              <w:tblStyle w:val="6"/>
              <w:tblW w:w="680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87"/>
              <w:gridCol w:w="2494"/>
              <w:gridCol w:w="1463"/>
              <w:gridCol w:w="859"/>
            </w:tblGrid>
            <w:tr w14:paraId="6C89A1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9" w:hRule="atLeast"/>
                <w:jc w:val="center"/>
              </w:trPr>
              <w:tc>
                <w:tcPr>
                  <w:tcW w:w="1721" w:type="dxa"/>
                  <w:noWrap w:val="0"/>
                  <w:vAlign w:val="center"/>
                </w:tcPr>
                <w:p w14:paraId="65FA8559">
                  <w:pPr>
                    <w:jc w:val="center"/>
                    <w:rPr>
                      <w:rFonts w:hint="eastAsia" w:ascii="仿宋" w:hAnsi="仿宋" w:eastAsia="仿宋" w:cs="仿宋"/>
                      <w:sz w:val="21"/>
                      <w:szCs w:val="21"/>
                    </w:rPr>
                  </w:pPr>
                  <w:r>
                    <w:rPr>
                      <w:rFonts w:hint="eastAsia" w:ascii="仿宋" w:hAnsi="仿宋" w:eastAsia="仿宋" w:cs="仿宋"/>
                      <w:sz w:val="21"/>
                      <w:szCs w:val="21"/>
                    </w:rPr>
                    <w:t>名称</w:t>
                  </w:r>
                </w:p>
              </w:tc>
              <w:tc>
                <w:tcPr>
                  <w:tcW w:w="2160" w:type="dxa"/>
                  <w:noWrap w:val="0"/>
                  <w:vAlign w:val="center"/>
                </w:tcPr>
                <w:p w14:paraId="590FB825">
                  <w:pPr>
                    <w:jc w:val="center"/>
                    <w:rPr>
                      <w:rFonts w:hint="eastAsia" w:ascii="仿宋" w:hAnsi="仿宋" w:eastAsia="仿宋" w:cs="仿宋"/>
                      <w:sz w:val="21"/>
                      <w:szCs w:val="21"/>
                    </w:rPr>
                  </w:pPr>
                  <w:r>
                    <w:rPr>
                      <w:rFonts w:hint="eastAsia" w:ascii="仿宋" w:hAnsi="仿宋" w:eastAsia="仿宋" w:cs="仿宋"/>
                      <w:sz w:val="21"/>
                      <w:szCs w:val="21"/>
                    </w:rPr>
                    <w:t>数量</w:t>
                  </w:r>
                </w:p>
              </w:tc>
              <w:tc>
                <w:tcPr>
                  <w:tcW w:w="1267" w:type="dxa"/>
                  <w:noWrap w:val="0"/>
                  <w:vAlign w:val="center"/>
                </w:tcPr>
                <w:p w14:paraId="165F8458">
                  <w:pPr>
                    <w:jc w:val="center"/>
                    <w:rPr>
                      <w:rFonts w:hint="eastAsia" w:ascii="仿宋" w:hAnsi="仿宋" w:eastAsia="仿宋" w:cs="仿宋"/>
                      <w:sz w:val="21"/>
                      <w:szCs w:val="21"/>
                    </w:rPr>
                  </w:pPr>
                  <w:r>
                    <w:rPr>
                      <w:rFonts w:hint="eastAsia" w:ascii="仿宋" w:hAnsi="仿宋" w:eastAsia="仿宋" w:cs="仿宋"/>
                      <w:sz w:val="21"/>
                      <w:szCs w:val="21"/>
                    </w:rPr>
                    <w:t>单位</w:t>
                  </w:r>
                </w:p>
              </w:tc>
              <w:tc>
                <w:tcPr>
                  <w:tcW w:w="743" w:type="dxa"/>
                  <w:noWrap w:val="0"/>
                  <w:vAlign w:val="center"/>
                </w:tcPr>
                <w:p w14:paraId="67FC72F2">
                  <w:pPr>
                    <w:jc w:val="center"/>
                    <w:rPr>
                      <w:rFonts w:hint="eastAsia" w:ascii="仿宋" w:hAnsi="仿宋" w:eastAsia="仿宋" w:cs="仿宋"/>
                      <w:sz w:val="21"/>
                      <w:szCs w:val="21"/>
                    </w:rPr>
                  </w:pPr>
                  <w:r>
                    <w:rPr>
                      <w:rFonts w:hint="eastAsia" w:ascii="仿宋" w:hAnsi="仿宋" w:eastAsia="仿宋" w:cs="仿宋"/>
                      <w:sz w:val="21"/>
                      <w:szCs w:val="21"/>
                    </w:rPr>
                    <w:t>备注</w:t>
                  </w:r>
                </w:p>
              </w:tc>
            </w:tr>
            <w:tr w14:paraId="6DC5F0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 w:hRule="atLeast"/>
                <w:jc w:val="center"/>
              </w:trPr>
              <w:tc>
                <w:tcPr>
                  <w:tcW w:w="1721" w:type="dxa"/>
                  <w:noWrap w:val="0"/>
                  <w:vAlign w:val="center"/>
                </w:tcPr>
                <w:p w14:paraId="58362772">
                  <w:pPr>
                    <w:jc w:val="center"/>
                    <w:rPr>
                      <w:rFonts w:hint="eastAsia" w:ascii="仿宋" w:hAnsi="仿宋" w:eastAsia="仿宋" w:cs="仿宋"/>
                      <w:sz w:val="21"/>
                      <w:szCs w:val="21"/>
                    </w:rPr>
                  </w:pPr>
                  <w:r>
                    <w:rPr>
                      <w:rFonts w:hint="eastAsia" w:ascii="仿宋" w:hAnsi="仿宋" w:eastAsia="仿宋" w:cs="仿宋"/>
                      <w:sz w:val="21"/>
                      <w:szCs w:val="21"/>
                    </w:rPr>
                    <w:t>电井</w:t>
                  </w:r>
                </w:p>
              </w:tc>
              <w:tc>
                <w:tcPr>
                  <w:tcW w:w="2160" w:type="dxa"/>
                  <w:noWrap w:val="0"/>
                  <w:vAlign w:val="center"/>
                </w:tcPr>
                <w:p w14:paraId="6FA1FB80">
                  <w:pPr>
                    <w:jc w:val="center"/>
                    <w:rPr>
                      <w:rFonts w:hint="eastAsia" w:ascii="仿宋" w:hAnsi="仿宋" w:eastAsia="仿宋" w:cs="仿宋"/>
                      <w:sz w:val="21"/>
                      <w:szCs w:val="21"/>
                    </w:rPr>
                  </w:pPr>
                  <w:r>
                    <w:rPr>
                      <w:rFonts w:hint="eastAsia" w:ascii="仿宋" w:hAnsi="仿宋" w:eastAsia="仿宋" w:cs="仿宋"/>
                      <w:sz w:val="21"/>
                      <w:szCs w:val="21"/>
                    </w:rPr>
                    <w:t>42</w:t>
                  </w:r>
                </w:p>
              </w:tc>
              <w:tc>
                <w:tcPr>
                  <w:tcW w:w="1267" w:type="dxa"/>
                  <w:noWrap w:val="0"/>
                  <w:vAlign w:val="center"/>
                </w:tcPr>
                <w:p w14:paraId="7E832EAD">
                  <w:pPr>
                    <w:jc w:val="center"/>
                    <w:rPr>
                      <w:rFonts w:hint="eastAsia" w:ascii="仿宋" w:hAnsi="仿宋" w:eastAsia="仿宋" w:cs="仿宋"/>
                      <w:sz w:val="21"/>
                      <w:szCs w:val="21"/>
                    </w:rPr>
                  </w:pPr>
                  <w:r>
                    <w:rPr>
                      <w:rFonts w:hint="eastAsia" w:ascii="仿宋" w:hAnsi="仿宋" w:eastAsia="仿宋" w:cs="仿宋"/>
                      <w:sz w:val="21"/>
                      <w:szCs w:val="21"/>
                    </w:rPr>
                    <w:t>个</w:t>
                  </w:r>
                </w:p>
              </w:tc>
              <w:tc>
                <w:tcPr>
                  <w:tcW w:w="743" w:type="dxa"/>
                  <w:noWrap w:val="0"/>
                  <w:vAlign w:val="center"/>
                </w:tcPr>
                <w:p w14:paraId="0F13EF0B">
                  <w:pPr>
                    <w:jc w:val="center"/>
                    <w:rPr>
                      <w:rFonts w:hint="eastAsia" w:ascii="仿宋" w:hAnsi="仿宋" w:eastAsia="仿宋" w:cs="仿宋"/>
                      <w:sz w:val="21"/>
                      <w:szCs w:val="21"/>
                    </w:rPr>
                  </w:pPr>
                </w:p>
              </w:tc>
            </w:tr>
            <w:tr w14:paraId="669BA2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380BA382">
                  <w:pPr>
                    <w:jc w:val="center"/>
                    <w:rPr>
                      <w:rFonts w:hint="eastAsia" w:ascii="仿宋" w:hAnsi="仿宋" w:eastAsia="仿宋" w:cs="仿宋"/>
                      <w:sz w:val="21"/>
                      <w:szCs w:val="21"/>
                    </w:rPr>
                  </w:pPr>
                  <w:r>
                    <w:rPr>
                      <w:rFonts w:hint="eastAsia" w:ascii="仿宋" w:hAnsi="仿宋" w:eastAsia="仿宋" w:cs="仿宋"/>
                      <w:sz w:val="21"/>
                      <w:szCs w:val="21"/>
                    </w:rPr>
                    <w:t>高压柜</w:t>
                  </w:r>
                </w:p>
              </w:tc>
              <w:tc>
                <w:tcPr>
                  <w:tcW w:w="2160" w:type="dxa"/>
                  <w:noWrap w:val="0"/>
                  <w:vAlign w:val="center"/>
                </w:tcPr>
                <w:p w14:paraId="62B64155">
                  <w:pPr>
                    <w:jc w:val="center"/>
                    <w:rPr>
                      <w:rFonts w:hint="eastAsia" w:ascii="仿宋" w:hAnsi="仿宋" w:eastAsia="仿宋" w:cs="仿宋"/>
                      <w:sz w:val="21"/>
                      <w:szCs w:val="21"/>
                    </w:rPr>
                  </w:pPr>
                  <w:r>
                    <w:rPr>
                      <w:rFonts w:hint="eastAsia" w:ascii="仿宋" w:hAnsi="仿宋" w:eastAsia="仿宋" w:cs="仿宋"/>
                      <w:sz w:val="21"/>
                      <w:szCs w:val="21"/>
                    </w:rPr>
                    <w:t>15</w:t>
                  </w:r>
                </w:p>
              </w:tc>
              <w:tc>
                <w:tcPr>
                  <w:tcW w:w="1267" w:type="dxa"/>
                  <w:noWrap w:val="0"/>
                  <w:vAlign w:val="center"/>
                </w:tcPr>
                <w:p w14:paraId="6A9A606F">
                  <w:pPr>
                    <w:jc w:val="center"/>
                    <w:rPr>
                      <w:rFonts w:hint="eastAsia" w:ascii="仿宋" w:hAnsi="仿宋" w:eastAsia="仿宋" w:cs="仿宋"/>
                      <w:sz w:val="21"/>
                      <w:szCs w:val="21"/>
                    </w:rPr>
                  </w:pPr>
                  <w:r>
                    <w:rPr>
                      <w:rFonts w:hint="eastAsia" w:ascii="仿宋" w:hAnsi="仿宋" w:eastAsia="仿宋" w:cs="仿宋"/>
                      <w:sz w:val="21"/>
                      <w:szCs w:val="21"/>
                    </w:rPr>
                    <w:t>台</w:t>
                  </w:r>
                </w:p>
              </w:tc>
              <w:tc>
                <w:tcPr>
                  <w:tcW w:w="743" w:type="dxa"/>
                  <w:noWrap w:val="0"/>
                  <w:vAlign w:val="center"/>
                </w:tcPr>
                <w:p w14:paraId="72AA6973">
                  <w:pPr>
                    <w:jc w:val="center"/>
                    <w:rPr>
                      <w:rFonts w:hint="eastAsia" w:ascii="仿宋" w:hAnsi="仿宋" w:eastAsia="仿宋" w:cs="仿宋"/>
                      <w:sz w:val="21"/>
                      <w:szCs w:val="21"/>
                    </w:rPr>
                  </w:pPr>
                </w:p>
              </w:tc>
            </w:tr>
            <w:tr w14:paraId="408BA7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3F8133B7">
                  <w:pPr>
                    <w:jc w:val="center"/>
                    <w:rPr>
                      <w:rFonts w:hint="eastAsia" w:ascii="仿宋" w:hAnsi="仿宋" w:eastAsia="仿宋" w:cs="仿宋"/>
                      <w:sz w:val="21"/>
                      <w:szCs w:val="21"/>
                    </w:rPr>
                  </w:pPr>
                  <w:r>
                    <w:rPr>
                      <w:rFonts w:hint="eastAsia" w:ascii="仿宋" w:hAnsi="仿宋" w:eastAsia="仿宋" w:cs="仿宋"/>
                      <w:sz w:val="21"/>
                      <w:szCs w:val="21"/>
                    </w:rPr>
                    <w:t>低压柜</w:t>
                  </w:r>
                </w:p>
              </w:tc>
              <w:tc>
                <w:tcPr>
                  <w:tcW w:w="2160" w:type="dxa"/>
                  <w:noWrap w:val="0"/>
                  <w:vAlign w:val="center"/>
                </w:tcPr>
                <w:p w14:paraId="66A45AC5">
                  <w:pPr>
                    <w:jc w:val="center"/>
                    <w:rPr>
                      <w:rFonts w:hint="eastAsia" w:ascii="仿宋" w:hAnsi="仿宋" w:eastAsia="仿宋" w:cs="仿宋"/>
                      <w:sz w:val="21"/>
                      <w:szCs w:val="21"/>
                    </w:rPr>
                  </w:pPr>
                  <w:r>
                    <w:rPr>
                      <w:rFonts w:hint="eastAsia" w:ascii="仿宋" w:hAnsi="仿宋" w:eastAsia="仿宋" w:cs="仿宋"/>
                      <w:sz w:val="21"/>
                      <w:szCs w:val="21"/>
                    </w:rPr>
                    <w:t>67</w:t>
                  </w:r>
                </w:p>
              </w:tc>
              <w:tc>
                <w:tcPr>
                  <w:tcW w:w="1267" w:type="dxa"/>
                  <w:noWrap w:val="0"/>
                  <w:vAlign w:val="center"/>
                </w:tcPr>
                <w:p w14:paraId="4AB3861D">
                  <w:pPr>
                    <w:jc w:val="center"/>
                    <w:rPr>
                      <w:rFonts w:hint="eastAsia" w:ascii="仿宋" w:hAnsi="仿宋" w:eastAsia="仿宋" w:cs="仿宋"/>
                      <w:sz w:val="21"/>
                      <w:szCs w:val="21"/>
                    </w:rPr>
                  </w:pPr>
                  <w:r>
                    <w:rPr>
                      <w:rFonts w:hint="eastAsia" w:ascii="仿宋" w:hAnsi="仿宋" w:eastAsia="仿宋" w:cs="仿宋"/>
                      <w:sz w:val="21"/>
                      <w:szCs w:val="21"/>
                    </w:rPr>
                    <w:t>台</w:t>
                  </w:r>
                </w:p>
              </w:tc>
              <w:tc>
                <w:tcPr>
                  <w:tcW w:w="743" w:type="dxa"/>
                  <w:noWrap w:val="0"/>
                  <w:vAlign w:val="center"/>
                </w:tcPr>
                <w:p w14:paraId="4EE7ACF2">
                  <w:pPr>
                    <w:jc w:val="center"/>
                    <w:rPr>
                      <w:rFonts w:hint="eastAsia" w:ascii="仿宋" w:hAnsi="仿宋" w:eastAsia="仿宋" w:cs="仿宋"/>
                      <w:sz w:val="21"/>
                      <w:szCs w:val="21"/>
                    </w:rPr>
                  </w:pPr>
                </w:p>
              </w:tc>
            </w:tr>
            <w:tr w14:paraId="5D856E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50366649">
                  <w:pPr>
                    <w:jc w:val="center"/>
                    <w:rPr>
                      <w:rFonts w:hint="eastAsia" w:ascii="仿宋" w:hAnsi="仿宋" w:eastAsia="仿宋" w:cs="仿宋"/>
                      <w:sz w:val="21"/>
                      <w:szCs w:val="21"/>
                    </w:rPr>
                  </w:pPr>
                  <w:r>
                    <w:rPr>
                      <w:rFonts w:hint="eastAsia" w:ascii="仿宋" w:hAnsi="仿宋" w:eastAsia="仿宋" w:cs="仿宋"/>
                      <w:sz w:val="21"/>
                      <w:szCs w:val="21"/>
                    </w:rPr>
                    <w:t>变压器</w:t>
                  </w:r>
                </w:p>
              </w:tc>
              <w:tc>
                <w:tcPr>
                  <w:tcW w:w="2160" w:type="dxa"/>
                  <w:noWrap w:val="0"/>
                  <w:vAlign w:val="center"/>
                </w:tcPr>
                <w:p w14:paraId="4308F3DB">
                  <w:pPr>
                    <w:jc w:val="center"/>
                    <w:rPr>
                      <w:rFonts w:hint="eastAsia" w:ascii="仿宋" w:hAnsi="仿宋" w:eastAsia="仿宋" w:cs="仿宋"/>
                      <w:sz w:val="21"/>
                      <w:szCs w:val="21"/>
                    </w:rPr>
                  </w:pPr>
                  <w:r>
                    <w:rPr>
                      <w:rFonts w:hint="eastAsia" w:ascii="仿宋" w:hAnsi="仿宋" w:eastAsia="仿宋" w:cs="仿宋"/>
                      <w:sz w:val="21"/>
                      <w:szCs w:val="21"/>
                    </w:rPr>
                    <w:t>7</w:t>
                  </w:r>
                </w:p>
              </w:tc>
              <w:tc>
                <w:tcPr>
                  <w:tcW w:w="1267" w:type="dxa"/>
                  <w:noWrap w:val="0"/>
                  <w:vAlign w:val="center"/>
                </w:tcPr>
                <w:p w14:paraId="1828629A">
                  <w:pPr>
                    <w:jc w:val="center"/>
                    <w:rPr>
                      <w:rFonts w:hint="eastAsia" w:ascii="仿宋" w:hAnsi="仿宋" w:eastAsia="仿宋" w:cs="仿宋"/>
                      <w:sz w:val="21"/>
                      <w:szCs w:val="21"/>
                    </w:rPr>
                  </w:pPr>
                  <w:r>
                    <w:rPr>
                      <w:rFonts w:hint="eastAsia" w:ascii="仿宋" w:hAnsi="仿宋" w:eastAsia="仿宋" w:cs="仿宋"/>
                      <w:sz w:val="21"/>
                      <w:szCs w:val="21"/>
                    </w:rPr>
                    <w:t>台</w:t>
                  </w:r>
                </w:p>
              </w:tc>
              <w:tc>
                <w:tcPr>
                  <w:tcW w:w="743" w:type="dxa"/>
                  <w:noWrap w:val="0"/>
                  <w:vAlign w:val="center"/>
                </w:tcPr>
                <w:p w14:paraId="2AC84005">
                  <w:pPr>
                    <w:jc w:val="center"/>
                    <w:rPr>
                      <w:rFonts w:hint="eastAsia" w:ascii="仿宋" w:hAnsi="仿宋" w:eastAsia="仿宋" w:cs="仿宋"/>
                      <w:sz w:val="21"/>
                      <w:szCs w:val="21"/>
                    </w:rPr>
                  </w:pPr>
                </w:p>
              </w:tc>
            </w:tr>
            <w:tr w14:paraId="18549F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40548C5E">
                  <w:pPr>
                    <w:jc w:val="center"/>
                    <w:rPr>
                      <w:rFonts w:hint="eastAsia" w:ascii="仿宋" w:hAnsi="仿宋" w:eastAsia="仿宋" w:cs="仿宋"/>
                      <w:sz w:val="21"/>
                      <w:szCs w:val="21"/>
                    </w:rPr>
                  </w:pPr>
                  <w:r>
                    <w:rPr>
                      <w:rFonts w:hint="eastAsia" w:ascii="仿宋" w:hAnsi="仿宋" w:eastAsia="仿宋" w:cs="仿宋"/>
                      <w:sz w:val="21"/>
                      <w:szCs w:val="21"/>
                    </w:rPr>
                    <w:t>高压电缆</w:t>
                  </w:r>
                </w:p>
              </w:tc>
              <w:tc>
                <w:tcPr>
                  <w:tcW w:w="2160" w:type="dxa"/>
                  <w:noWrap w:val="0"/>
                  <w:vAlign w:val="center"/>
                </w:tcPr>
                <w:p w14:paraId="3F7DCC9C">
                  <w:pPr>
                    <w:jc w:val="center"/>
                    <w:rPr>
                      <w:rFonts w:hint="eastAsia" w:ascii="仿宋" w:hAnsi="仿宋" w:eastAsia="仿宋" w:cs="仿宋"/>
                      <w:sz w:val="21"/>
                      <w:szCs w:val="21"/>
                    </w:rPr>
                  </w:pPr>
                  <w:r>
                    <w:rPr>
                      <w:rFonts w:hint="eastAsia" w:ascii="仿宋" w:hAnsi="仿宋" w:eastAsia="仿宋" w:cs="仿宋"/>
                      <w:sz w:val="21"/>
                      <w:szCs w:val="21"/>
                    </w:rPr>
                    <w:t>7</w:t>
                  </w:r>
                </w:p>
              </w:tc>
              <w:tc>
                <w:tcPr>
                  <w:tcW w:w="1267" w:type="dxa"/>
                  <w:noWrap w:val="0"/>
                  <w:vAlign w:val="center"/>
                </w:tcPr>
                <w:p w14:paraId="285E95D7">
                  <w:pPr>
                    <w:jc w:val="center"/>
                    <w:rPr>
                      <w:rFonts w:hint="eastAsia" w:ascii="仿宋" w:hAnsi="仿宋" w:eastAsia="仿宋" w:cs="仿宋"/>
                      <w:sz w:val="21"/>
                      <w:szCs w:val="21"/>
                    </w:rPr>
                  </w:pPr>
                  <w:r>
                    <w:rPr>
                      <w:rFonts w:hint="eastAsia" w:ascii="仿宋" w:hAnsi="仿宋" w:eastAsia="仿宋" w:cs="仿宋"/>
                      <w:sz w:val="21"/>
                      <w:szCs w:val="21"/>
                    </w:rPr>
                    <w:t>根</w:t>
                  </w:r>
                </w:p>
              </w:tc>
              <w:tc>
                <w:tcPr>
                  <w:tcW w:w="743" w:type="dxa"/>
                  <w:noWrap w:val="0"/>
                  <w:vAlign w:val="center"/>
                </w:tcPr>
                <w:p w14:paraId="3E414AA8">
                  <w:pPr>
                    <w:jc w:val="center"/>
                    <w:rPr>
                      <w:rFonts w:hint="eastAsia" w:ascii="仿宋" w:hAnsi="仿宋" w:eastAsia="仿宋" w:cs="仿宋"/>
                      <w:sz w:val="21"/>
                      <w:szCs w:val="21"/>
                    </w:rPr>
                  </w:pPr>
                </w:p>
              </w:tc>
            </w:tr>
            <w:tr w14:paraId="1BBD3C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78B22119">
                  <w:pPr>
                    <w:jc w:val="center"/>
                    <w:rPr>
                      <w:rFonts w:hint="eastAsia" w:ascii="仿宋" w:hAnsi="仿宋" w:eastAsia="仿宋" w:cs="仿宋"/>
                      <w:sz w:val="21"/>
                      <w:szCs w:val="21"/>
                    </w:rPr>
                  </w:pPr>
                  <w:r>
                    <w:rPr>
                      <w:rFonts w:hint="eastAsia" w:ascii="仿宋" w:hAnsi="仿宋" w:eastAsia="仿宋" w:cs="仿宋"/>
                      <w:sz w:val="21"/>
                      <w:szCs w:val="21"/>
                    </w:rPr>
                    <w:t>直流屏</w:t>
                  </w:r>
                </w:p>
              </w:tc>
              <w:tc>
                <w:tcPr>
                  <w:tcW w:w="2160" w:type="dxa"/>
                  <w:noWrap w:val="0"/>
                  <w:vAlign w:val="center"/>
                </w:tcPr>
                <w:p w14:paraId="2DE8C0A5">
                  <w:pPr>
                    <w:jc w:val="center"/>
                    <w:rPr>
                      <w:rFonts w:hint="eastAsia" w:ascii="仿宋" w:hAnsi="仿宋" w:eastAsia="仿宋" w:cs="仿宋"/>
                      <w:sz w:val="21"/>
                      <w:szCs w:val="21"/>
                    </w:rPr>
                  </w:pPr>
                  <w:r>
                    <w:rPr>
                      <w:rFonts w:hint="eastAsia" w:ascii="仿宋" w:hAnsi="仿宋" w:eastAsia="仿宋" w:cs="仿宋"/>
                      <w:sz w:val="21"/>
                      <w:szCs w:val="21"/>
                    </w:rPr>
                    <w:t>1</w:t>
                  </w:r>
                </w:p>
              </w:tc>
              <w:tc>
                <w:tcPr>
                  <w:tcW w:w="1267" w:type="dxa"/>
                  <w:noWrap w:val="0"/>
                  <w:vAlign w:val="center"/>
                </w:tcPr>
                <w:p w14:paraId="1F2E6AB4">
                  <w:pPr>
                    <w:jc w:val="center"/>
                    <w:rPr>
                      <w:rFonts w:hint="eastAsia" w:ascii="仿宋" w:hAnsi="仿宋" w:eastAsia="仿宋" w:cs="仿宋"/>
                      <w:sz w:val="21"/>
                      <w:szCs w:val="21"/>
                    </w:rPr>
                  </w:pPr>
                  <w:r>
                    <w:rPr>
                      <w:rFonts w:hint="eastAsia" w:ascii="仿宋" w:hAnsi="仿宋" w:eastAsia="仿宋" w:cs="仿宋"/>
                      <w:sz w:val="21"/>
                      <w:szCs w:val="21"/>
                    </w:rPr>
                    <w:t>套</w:t>
                  </w:r>
                </w:p>
              </w:tc>
              <w:tc>
                <w:tcPr>
                  <w:tcW w:w="743" w:type="dxa"/>
                  <w:noWrap w:val="0"/>
                  <w:vAlign w:val="center"/>
                </w:tcPr>
                <w:p w14:paraId="2758B847">
                  <w:pPr>
                    <w:jc w:val="center"/>
                    <w:rPr>
                      <w:rFonts w:hint="eastAsia" w:ascii="仿宋" w:hAnsi="仿宋" w:eastAsia="仿宋" w:cs="仿宋"/>
                      <w:sz w:val="21"/>
                      <w:szCs w:val="21"/>
                    </w:rPr>
                  </w:pPr>
                </w:p>
              </w:tc>
            </w:tr>
            <w:tr w14:paraId="17AD5E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4CF97CCE">
                  <w:pPr>
                    <w:jc w:val="center"/>
                    <w:rPr>
                      <w:rFonts w:hint="eastAsia" w:ascii="仿宋" w:hAnsi="仿宋" w:eastAsia="仿宋" w:cs="仿宋"/>
                      <w:sz w:val="21"/>
                      <w:szCs w:val="21"/>
                    </w:rPr>
                  </w:pPr>
                  <w:r>
                    <w:rPr>
                      <w:rFonts w:hint="eastAsia" w:ascii="仿宋" w:hAnsi="仿宋" w:eastAsia="仿宋" w:cs="仿宋"/>
                      <w:sz w:val="21"/>
                      <w:szCs w:val="21"/>
                    </w:rPr>
                    <w:t>主供设备</w:t>
                  </w:r>
                </w:p>
              </w:tc>
              <w:tc>
                <w:tcPr>
                  <w:tcW w:w="2160" w:type="dxa"/>
                  <w:noWrap w:val="0"/>
                  <w:vAlign w:val="center"/>
                </w:tcPr>
                <w:p w14:paraId="3483AA65">
                  <w:pPr>
                    <w:jc w:val="center"/>
                    <w:rPr>
                      <w:rFonts w:hint="eastAsia" w:ascii="仿宋" w:hAnsi="仿宋" w:eastAsia="仿宋" w:cs="仿宋"/>
                      <w:sz w:val="21"/>
                      <w:szCs w:val="21"/>
                    </w:rPr>
                  </w:pPr>
                  <w:r>
                    <w:rPr>
                      <w:rFonts w:hint="eastAsia" w:ascii="仿宋" w:hAnsi="仿宋" w:eastAsia="仿宋" w:cs="仿宋"/>
                      <w:sz w:val="21"/>
                      <w:szCs w:val="21"/>
                    </w:rPr>
                    <w:t>168</w:t>
                  </w:r>
                </w:p>
              </w:tc>
              <w:tc>
                <w:tcPr>
                  <w:tcW w:w="1267" w:type="dxa"/>
                  <w:noWrap w:val="0"/>
                  <w:vAlign w:val="center"/>
                </w:tcPr>
                <w:p w14:paraId="45E8BB50">
                  <w:pPr>
                    <w:jc w:val="center"/>
                    <w:rPr>
                      <w:rFonts w:hint="eastAsia" w:ascii="仿宋" w:hAnsi="仿宋" w:eastAsia="仿宋" w:cs="仿宋"/>
                      <w:sz w:val="21"/>
                      <w:szCs w:val="21"/>
                    </w:rPr>
                  </w:pPr>
                  <w:r>
                    <w:rPr>
                      <w:rFonts w:hint="eastAsia" w:ascii="仿宋" w:hAnsi="仿宋" w:eastAsia="仿宋" w:cs="仿宋"/>
                      <w:sz w:val="21"/>
                      <w:szCs w:val="21"/>
                    </w:rPr>
                    <w:t>个</w:t>
                  </w:r>
                </w:p>
              </w:tc>
              <w:tc>
                <w:tcPr>
                  <w:tcW w:w="743" w:type="dxa"/>
                  <w:noWrap w:val="0"/>
                  <w:vAlign w:val="center"/>
                </w:tcPr>
                <w:p w14:paraId="60101DEE">
                  <w:pPr>
                    <w:jc w:val="center"/>
                    <w:rPr>
                      <w:rFonts w:hint="eastAsia" w:ascii="仿宋" w:hAnsi="仿宋" w:eastAsia="仿宋" w:cs="仿宋"/>
                      <w:sz w:val="21"/>
                      <w:szCs w:val="21"/>
                    </w:rPr>
                  </w:pPr>
                </w:p>
              </w:tc>
            </w:tr>
            <w:tr w14:paraId="025D58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 w:hRule="atLeast"/>
                <w:jc w:val="center"/>
              </w:trPr>
              <w:tc>
                <w:tcPr>
                  <w:tcW w:w="1721" w:type="dxa"/>
                  <w:noWrap w:val="0"/>
                  <w:vAlign w:val="center"/>
                </w:tcPr>
                <w:p w14:paraId="26287337">
                  <w:pPr>
                    <w:jc w:val="center"/>
                    <w:rPr>
                      <w:rFonts w:hint="eastAsia" w:ascii="仿宋" w:hAnsi="仿宋" w:eastAsia="仿宋" w:cs="仿宋"/>
                      <w:sz w:val="21"/>
                      <w:szCs w:val="21"/>
                    </w:rPr>
                  </w:pPr>
                  <w:r>
                    <w:rPr>
                      <w:rFonts w:hint="eastAsia" w:ascii="仿宋" w:hAnsi="仿宋" w:eastAsia="仿宋" w:cs="仿宋"/>
                      <w:sz w:val="21"/>
                      <w:szCs w:val="21"/>
                    </w:rPr>
                    <w:t>管井</w:t>
                  </w:r>
                </w:p>
              </w:tc>
              <w:tc>
                <w:tcPr>
                  <w:tcW w:w="2160" w:type="dxa"/>
                  <w:noWrap w:val="0"/>
                  <w:vAlign w:val="center"/>
                </w:tcPr>
                <w:p w14:paraId="4F843415">
                  <w:pPr>
                    <w:jc w:val="center"/>
                    <w:rPr>
                      <w:rFonts w:hint="eastAsia" w:ascii="仿宋" w:hAnsi="仿宋" w:eastAsia="仿宋" w:cs="仿宋"/>
                      <w:sz w:val="21"/>
                      <w:szCs w:val="21"/>
                    </w:rPr>
                  </w:pPr>
                  <w:r>
                    <w:rPr>
                      <w:rFonts w:hint="eastAsia" w:ascii="仿宋" w:hAnsi="仿宋" w:eastAsia="仿宋" w:cs="仿宋"/>
                      <w:sz w:val="21"/>
                      <w:szCs w:val="21"/>
                    </w:rPr>
                    <w:t>280</w:t>
                  </w:r>
                </w:p>
              </w:tc>
              <w:tc>
                <w:tcPr>
                  <w:tcW w:w="1267" w:type="dxa"/>
                  <w:noWrap w:val="0"/>
                  <w:vAlign w:val="center"/>
                </w:tcPr>
                <w:p w14:paraId="0636EA66">
                  <w:pPr>
                    <w:jc w:val="center"/>
                    <w:rPr>
                      <w:rFonts w:hint="eastAsia" w:ascii="仿宋" w:hAnsi="仿宋" w:eastAsia="仿宋" w:cs="仿宋"/>
                      <w:sz w:val="21"/>
                      <w:szCs w:val="21"/>
                    </w:rPr>
                  </w:pPr>
                  <w:r>
                    <w:rPr>
                      <w:rFonts w:hint="eastAsia" w:ascii="仿宋" w:hAnsi="仿宋" w:eastAsia="仿宋" w:cs="仿宋"/>
                      <w:sz w:val="21"/>
                      <w:szCs w:val="21"/>
                    </w:rPr>
                    <w:t>个</w:t>
                  </w:r>
                </w:p>
              </w:tc>
              <w:tc>
                <w:tcPr>
                  <w:tcW w:w="743" w:type="dxa"/>
                  <w:noWrap w:val="0"/>
                  <w:vAlign w:val="center"/>
                </w:tcPr>
                <w:p w14:paraId="4A645FBE">
                  <w:pPr>
                    <w:jc w:val="center"/>
                    <w:rPr>
                      <w:rFonts w:hint="eastAsia" w:ascii="仿宋" w:hAnsi="仿宋" w:eastAsia="仿宋" w:cs="仿宋"/>
                      <w:sz w:val="21"/>
                      <w:szCs w:val="21"/>
                    </w:rPr>
                  </w:pPr>
                </w:p>
              </w:tc>
            </w:tr>
          </w:tbl>
          <w:p w14:paraId="53AC750A">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sz w:val="21"/>
                <w:szCs w:val="21"/>
                <w:lang w:val="en-US" w:eastAsia="zh-CN"/>
              </w:rPr>
            </w:pPr>
          </w:p>
        </w:tc>
      </w:tr>
    </w:tbl>
    <w:p w14:paraId="1852DF22">
      <w:pPr>
        <w:pStyle w:val="5"/>
        <w:keepNext w:val="0"/>
        <w:keepLines w:val="0"/>
        <w:pageBreakBefore w:val="0"/>
        <w:widowControl/>
        <w:kinsoku/>
        <w:wordWrap/>
        <w:overflowPunct/>
        <w:topLinePunct w:val="0"/>
        <w:autoSpaceDE/>
        <w:autoSpaceDN/>
        <w:bidi w:val="0"/>
        <w:adjustRightInd/>
        <w:snapToGrid/>
        <w:spacing w:line="360" w:lineRule="auto"/>
        <w:textAlignment w:val="auto"/>
        <w:outlineLvl w:val="2"/>
        <w:rPr>
          <w:rFonts w:hint="eastAsia" w:ascii="仿宋" w:hAnsi="仿宋" w:eastAsia="仿宋" w:cs="仿宋"/>
          <w:sz w:val="21"/>
          <w:szCs w:val="21"/>
        </w:rPr>
      </w:pPr>
      <w:r>
        <w:rPr>
          <w:rFonts w:hint="eastAsia" w:ascii="仿宋" w:hAnsi="仿宋" w:eastAsia="仿宋" w:cs="仿宋"/>
          <w:b/>
          <w:sz w:val="21"/>
          <w:szCs w:val="21"/>
        </w:rPr>
        <w:t>3.2.3人员配置要求</w:t>
      </w:r>
    </w:p>
    <w:p w14:paraId="5820F35E">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采购包1：</w:t>
      </w:r>
    </w:p>
    <w:p w14:paraId="17392F3C">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2"/>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供应商</w:t>
      </w:r>
      <w:r>
        <w:rPr>
          <w:rFonts w:hint="eastAsia" w:ascii="仿宋" w:hAnsi="仿宋" w:eastAsia="仿宋" w:cs="仿宋"/>
          <w:b w:val="0"/>
          <w:bCs/>
          <w:sz w:val="21"/>
          <w:szCs w:val="21"/>
        </w:rPr>
        <w:t>应成立长安区医院水电运维项目部，</w:t>
      </w:r>
      <w:r>
        <w:rPr>
          <w:rFonts w:hint="eastAsia" w:ascii="仿宋" w:hAnsi="仿宋" w:eastAsia="仿宋" w:cs="仿宋"/>
          <w:b w:val="0"/>
          <w:bCs/>
          <w:sz w:val="21"/>
          <w:szCs w:val="21"/>
          <w:lang w:val="en-US" w:eastAsia="zh-CN"/>
        </w:rPr>
        <w:t>为采购人</w:t>
      </w:r>
      <w:r>
        <w:rPr>
          <w:rFonts w:hint="eastAsia" w:ascii="仿宋" w:hAnsi="仿宋" w:eastAsia="仿宋" w:cs="仿宋"/>
          <w:b w:val="0"/>
          <w:bCs/>
          <w:sz w:val="21"/>
          <w:szCs w:val="21"/>
        </w:rPr>
        <w:t>提供全面的、24小时不间断的技术与人力服务，运维项目部驻场人员</w:t>
      </w:r>
      <w:r>
        <w:rPr>
          <w:rFonts w:hint="eastAsia" w:ascii="仿宋" w:hAnsi="仿宋" w:eastAsia="仿宋" w:cs="仿宋"/>
          <w:b w:val="0"/>
          <w:bCs/>
          <w:sz w:val="21"/>
          <w:szCs w:val="21"/>
          <w:lang w:val="en-US" w:eastAsia="zh-CN"/>
        </w:rPr>
        <w:t>不少于</w:t>
      </w:r>
      <w:r>
        <w:rPr>
          <w:rFonts w:hint="eastAsia" w:ascii="仿宋" w:hAnsi="仿宋" w:eastAsia="仿宋" w:cs="仿宋"/>
          <w:b w:val="0"/>
          <w:bCs/>
          <w:sz w:val="21"/>
          <w:szCs w:val="21"/>
        </w:rPr>
        <w:t>13人，运维项目部除了做好设备的管理运行工作，还应做好项目的管理、维修保养和资料完善工作。</w:t>
      </w:r>
    </w:p>
    <w:p w14:paraId="581A2DDC">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2"/>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w:t>
      </w:r>
      <w:r>
        <w:rPr>
          <w:rFonts w:hint="eastAsia" w:ascii="仿宋" w:hAnsi="仿宋" w:eastAsia="仿宋" w:cs="仿宋"/>
          <w:b w:val="0"/>
          <w:bCs/>
          <w:sz w:val="21"/>
          <w:szCs w:val="21"/>
        </w:rPr>
        <w:t>水电运维项目部从业人员必须是供应商的合法</w:t>
      </w:r>
      <w:r>
        <w:rPr>
          <w:rFonts w:hint="eastAsia" w:ascii="仿宋" w:hAnsi="仿宋" w:eastAsia="仿宋" w:cs="仿宋"/>
          <w:b w:val="0"/>
          <w:bCs/>
          <w:sz w:val="21"/>
          <w:szCs w:val="21"/>
          <w:lang w:val="en-US" w:eastAsia="zh-CN"/>
        </w:rPr>
        <w:t>正式</w:t>
      </w:r>
      <w:r>
        <w:rPr>
          <w:rFonts w:hint="eastAsia" w:ascii="仿宋" w:hAnsi="仿宋" w:eastAsia="仿宋" w:cs="仿宋"/>
          <w:b w:val="0"/>
          <w:bCs/>
          <w:sz w:val="21"/>
          <w:szCs w:val="21"/>
        </w:rPr>
        <w:t>员工（供应商负责缴纳驻场人员的社保、 医疗、工伤、人身意外伤害保险等费用，采购方不定期抽查），上班时间统一着装、佩戴工牌。</w:t>
      </w:r>
    </w:p>
    <w:p w14:paraId="12D7936B">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2"/>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★人员要求：</w:t>
      </w:r>
      <w:r>
        <w:rPr>
          <w:rFonts w:hint="eastAsia" w:ascii="仿宋" w:hAnsi="仿宋" w:eastAsia="仿宋" w:cs="仿宋"/>
          <w:b w:val="0"/>
          <w:bCs/>
          <w:sz w:val="21"/>
          <w:szCs w:val="21"/>
        </w:rPr>
        <w:t>项目负责人1名；高压操作证电工</w:t>
      </w:r>
      <w:r>
        <w:rPr>
          <w:rFonts w:hint="eastAsia" w:ascii="仿宋" w:hAnsi="仿宋" w:eastAsia="仿宋" w:cs="仿宋"/>
          <w:b w:val="0"/>
          <w:bCs/>
          <w:sz w:val="21"/>
          <w:szCs w:val="21"/>
          <w:lang w:val="en-US" w:eastAsia="zh-CN"/>
        </w:rPr>
        <w:t>不少于</w:t>
      </w:r>
      <w:r>
        <w:rPr>
          <w:rFonts w:hint="eastAsia" w:ascii="仿宋" w:hAnsi="仿宋" w:eastAsia="仿宋" w:cs="仿宋"/>
          <w:b w:val="0"/>
          <w:bCs/>
          <w:sz w:val="21"/>
          <w:szCs w:val="21"/>
        </w:rPr>
        <w:t>4人，低压操作证电工</w:t>
      </w:r>
      <w:r>
        <w:rPr>
          <w:rFonts w:hint="eastAsia" w:ascii="仿宋" w:hAnsi="仿宋" w:eastAsia="仿宋" w:cs="仿宋"/>
          <w:b w:val="0"/>
          <w:bCs/>
          <w:sz w:val="21"/>
          <w:szCs w:val="21"/>
          <w:lang w:val="en-US" w:eastAsia="zh-CN"/>
        </w:rPr>
        <w:t>不少于</w:t>
      </w:r>
      <w:r>
        <w:rPr>
          <w:rFonts w:hint="eastAsia" w:ascii="仿宋" w:hAnsi="仿宋" w:eastAsia="仿宋" w:cs="仿宋"/>
          <w:b w:val="0"/>
          <w:bCs/>
          <w:sz w:val="21"/>
          <w:szCs w:val="21"/>
        </w:rPr>
        <w:t>4人，管道工</w:t>
      </w:r>
      <w:r>
        <w:rPr>
          <w:rFonts w:hint="eastAsia" w:ascii="仿宋" w:hAnsi="仿宋" w:eastAsia="仿宋" w:cs="仿宋"/>
          <w:b w:val="0"/>
          <w:bCs/>
          <w:sz w:val="21"/>
          <w:szCs w:val="21"/>
          <w:lang w:val="en-US" w:eastAsia="zh-CN"/>
        </w:rPr>
        <w:t>不少于</w:t>
      </w:r>
      <w:r>
        <w:rPr>
          <w:rFonts w:hint="eastAsia" w:ascii="仿宋" w:hAnsi="仿宋" w:eastAsia="仿宋" w:cs="仿宋"/>
          <w:b w:val="0"/>
          <w:bCs/>
          <w:sz w:val="21"/>
          <w:szCs w:val="21"/>
        </w:rPr>
        <w:t>4人。电工从业人员具有中华人民共和国特种作业操作证（低压电工作业证或高压电工作业证），水工从业人员应具有住房城乡建设行业从业人员管工职业证。</w:t>
      </w:r>
    </w:p>
    <w:p w14:paraId="0BD3693F">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2"/>
        <w:rPr>
          <w:rFonts w:hint="eastAsia" w:ascii="仿宋" w:hAnsi="仿宋" w:eastAsia="仿宋" w:cs="仿宋"/>
          <w:b w:val="0"/>
          <w:bCs/>
          <w:sz w:val="21"/>
          <w:szCs w:val="21"/>
        </w:rPr>
      </w:pPr>
      <w:r>
        <w:rPr>
          <w:rFonts w:hint="eastAsia" w:ascii="仿宋" w:hAnsi="仿宋" w:eastAsia="仿宋" w:cs="仿宋"/>
          <w:b w:val="0"/>
          <w:bCs/>
          <w:sz w:val="21"/>
          <w:szCs w:val="21"/>
        </w:rPr>
        <w:t>工作人员分为2个组，电工组和水工组。所有人员要办理健康证（管道工健康证长期有效）。服务期间定员定岗按时上班，每少一人扣除500元/天 ，连续三天以上（含 3天）扣除本月合同费用5%。</w:t>
      </w:r>
    </w:p>
    <w:p w14:paraId="433CA5EB">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2"/>
        <w:rPr>
          <w:rFonts w:hint="eastAsia" w:ascii="仿宋" w:hAnsi="仿宋" w:eastAsia="仿宋" w:cs="仿宋"/>
          <w:b w:val="0"/>
          <w:bCs/>
          <w:sz w:val="21"/>
          <w:szCs w:val="21"/>
        </w:rPr>
      </w:pPr>
      <w:r>
        <w:rPr>
          <w:rFonts w:hint="eastAsia" w:ascii="仿宋" w:hAnsi="仿宋" w:eastAsia="仿宋" w:cs="仿宋"/>
          <w:b w:val="0"/>
          <w:bCs/>
          <w:sz w:val="21"/>
          <w:szCs w:val="21"/>
        </w:rPr>
        <w:t>白天（ 08：00-18:00）驻场工作人员不少于11人（高压操作证电工2人，低压操作证电工4人，管道工4人，档案资料员1人）；晚上（18：00-08:00）驻场工作人员不少于6人（高压操作证电工2人，低压操作证电工2人，管道工2人）；满足要求的条件下人员由成交供应商自行调配。</w:t>
      </w:r>
    </w:p>
    <w:p w14:paraId="372B09C4">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2"/>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2.</w:t>
      </w:r>
      <w:r>
        <w:rPr>
          <w:rFonts w:hint="eastAsia" w:ascii="仿宋" w:hAnsi="仿宋" w:eastAsia="仿宋" w:cs="仿宋"/>
          <w:b w:val="0"/>
          <w:bCs/>
          <w:sz w:val="21"/>
          <w:szCs w:val="21"/>
        </w:rPr>
        <w:t>电工组要求必须持电工证（高压操作人员需持高压操作证）上岗，主要工作内容包括：</w:t>
      </w:r>
    </w:p>
    <w:p w14:paraId="489B7516">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（1）负责医院电力供应和用电安全，定期进行用电安全巡查；</w:t>
      </w:r>
    </w:p>
    <w:p w14:paraId="120162E6">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（2）负责电力设施、线路及电器设备等的维护；</w:t>
      </w:r>
    </w:p>
    <w:p w14:paraId="62E7B279">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（3）负责协助医院管理人员的节约用电的督查；</w:t>
      </w:r>
    </w:p>
    <w:p w14:paraId="4EA452FA">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（4）实行二十四小时值班，巡视电力线路及设备；</w:t>
      </w:r>
    </w:p>
    <w:p w14:paraId="54145E4F">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（5）停、送电操作，处理突发的用电事故，设备的报修、临时故障的处理；</w:t>
      </w:r>
    </w:p>
    <w:p w14:paraId="2D9A8714">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（6）负责各科室用电设备的巡视和检修；</w:t>
      </w:r>
    </w:p>
    <w:p w14:paraId="5B291597">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（7）负责维修安装各种照明设施，及时处理出现的临时故障，做好记录；</w:t>
      </w:r>
    </w:p>
    <w:p w14:paraId="6F14A03E">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（8）负责全院户外用电设备的巡视和检修；</w:t>
      </w:r>
    </w:p>
    <w:p w14:paraId="55D5074A">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（9）负责本班组工作场所的安全防范工作，做好防火、防盗、防爆、防意外伤害等工作；</w:t>
      </w:r>
    </w:p>
    <w:p w14:paraId="54EF7B41">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（10）负责各开闭所、配电室、强电井的清洁卫生工作。</w:t>
      </w:r>
    </w:p>
    <w:p w14:paraId="1B61BD49">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（11）所有人，必须爱惜国有财产，不得故意损坏、恶意损坏，造成严重后果追究当事人法律责任。</w:t>
      </w:r>
    </w:p>
    <w:p w14:paraId="650E2DC3">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3.</w:t>
      </w:r>
      <w:r>
        <w:rPr>
          <w:rFonts w:hint="eastAsia" w:ascii="仿宋" w:hAnsi="仿宋" w:eastAsia="仿宋" w:cs="仿宋"/>
          <w:b w:val="0"/>
          <w:bCs/>
          <w:sz w:val="21"/>
          <w:szCs w:val="21"/>
        </w:rPr>
        <w:t>水工组主要工作内容包括：</w:t>
      </w:r>
    </w:p>
    <w:p w14:paraId="6944F1E1">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（1）负责本班组工作场所的安全防范工作，做好防火、防盗、防爆、防意外伤害等工作；</w:t>
      </w:r>
    </w:p>
    <w:p w14:paraId="72F8F703">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（2）负责医院供水（含二次供水）、排水设施的正常运行，定期进行用水安全巡查；</w:t>
      </w:r>
    </w:p>
    <w:p w14:paraId="7746520A">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（3） 实行二十四小时技术服务，确保水泵运行和水厂进水的设施正常运行；</w:t>
      </w:r>
    </w:p>
    <w:p w14:paraId="23D3CEB9">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（4） 负责协助医院管理人员的医院节约用水的督查；</w:t>
      </w:r>
    </w:p>
    <w:p w14:paraId="5FE9D2C9">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（5） 负责定期对供、排水及管路检查维护，保证上下水通畅；</w:t>
      </w:r>
    </w:p>
    <w:p w14:paraId="4BD36063">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（6） 负责各种水泵的巡查、维护，各种水罐的检修，安全阀、压力表的校验，和各种管道的检修；</w:t>
      </w:r>
    </w:p>
    <w:p w14:paraId="6F178307">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（7） 负责室内外排水泵的维护及 24 小时不间断的巡查、维护；</w:t>
      </w:r>
    </w:p>
    <w:p w14:paraId="19973E7D">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（8） 负责室内、外所有水管道、阀门、水表和水泵等用水设施的巡查、维护；</w:t>
      </w:r>
    </w:p>
    <w:p w14:paraId="15F7553E">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（9） 负责采购方要求的各卫生间坐便器、各类洗手盆及墩布池更换；</w:t>
      </w:r>
    </w:p>
    <w:p w14:paraId="0C155861">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w:t>
      </w:r>
      <w:r>
        <w:rPr>
          <w:rFonts w:hint="eastAsia" w:ascii="仿宋" w:hAnsi="仿宋" w:eastAsia="仿宋" w:cs="仿宋"/>
          <w:b w:val="0"/>
          <w:bCs/>
          <w:sz w:val="21"/>
          <w:szCs w:val="21"/>
          <w:lang w:val="en-US" w:eastAsia="zh-CN"/>
        </w:rPr>
        <w:t>10</w:t>
      </w:r>
      <w:r>
        <w:rPr>
          <w:rFonts w:hint="eastAsia" w:ascii="仿宋" w:hAnsi="仿宋" w:eastAsia="仿宋" w:cs="仿宋"/>
          <w:b w:val="0"/>
          <w:bCs/>
          <w:sz w:val="21"/>
          <w:szCs w:val="21"/>
        </w:rPr>
        <w:t>）负责采购方要求的各部门冷热水龙头及淋浴喷头维修更换；</w:t>
      </w:r>
    </w:p>
    <w:p w14:paraId="7DC69390">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w:t>
      </w:r>
      <w:r>
        <w:rPr>
          <w:rFonts w:hint="eastAsia" w:ascii="仿宋" w:hAnsi="仿宋" w:eastAsia="仿宋" w:cs="仿宋"/>
          <w:b w:val="0"/>
          <w:bCs/>
          <w:sz w:val="21"/>
          <w:szCs w:val="21"/>
          <w:lang w:val="en-US" w:eastAsia="zh-CN"/>
        </w:rPr>
        <w:t>11</w:t>
      </w:r>
      <w:r>
        <w:rPr>
          <w:rFonts w:hint="eastAsia" w:ascii="仿宋" w:hAnsi="仿宋" w:eastAsia="仿宋" w:cs="仿宋"/>
          <w:b w:val="0"/>
          <w:bCs/>
          <w:sz w:val="21"/>
          <w:szCs w:val="21"/>
        </w:rPr>
        <w:t>）负责本班组工作场所的安全防范工作，做好防火、防盗、防爆、防意外伤害等工作。</w:t>
      </w:r>
    </w:p>
    <w:p w14:paraId="3350DA16">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w:t>
      </w:r>
      <w:r>
        <w:rPr>
          <w:rFonts w:hint="eastAsia" w:ascii="仿宋" w:hAnsi="仿宋" w:eastAsia="仿宋" w:cs="仿宋"/>
          <w:b w:val="0"/>
          <w:bCs/>
          <w:sz w:val="21"/>
          <w:szCs w:val="21"/>
          <w:lang w:val="en-US" w:eastAsia="zh-CN"/>
        </w:rPr>
        <w:t>12</w:t>
      </w:r>
      <w:r>
        <w:rPr>
          <w:rFonts w:hint="eastAsia" w:ascii="仿宋" w:hAnsi="仿宋" w:eastAsia="仿宋" w:cs="仿宋"/>
          <w:b w:val="0"/>
          <w:bCs/>
          <w:sz w:val="21"/>
          <w:szCs w:val="21"/>
        </w:rPr>
        <w:t>）负责水泵房的清洁卫生工作。</w:t>
      </w:r>
    </w:p>
    <w:p w14:paraId="0854E865">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w:t>
      </w:r>
      <w:r>
        <w:rPr>
          <w:rFonts w:hint="eastAsia" w:ascii="仿宋" w:hAnsi="仿宋" w:eastAsia="仿宋" w:cs="仿宋"/>
          <w:b w:val="0"/>
          <w:bCs/>
          <w:sz w:val="21"/>
          <w:szCs w:val="21"/>
          <w:lang w:val="en-US" w:eastAsia="zh-CN"/>
        </w:rPr>
        <w:t>13</w:t>
      </w:r>
      <w:r>
        <w:rPr>
          <w:rFonts w:hint="eastAsia" w:ascii="仿宋" w:hAnsi="仿宋" w:eastAsia="仿宋" w:cs="仿宋"/>
          <w:b w:val="0"/>
          <w:bCs/>
          <w:sz w:val="21"/>
          <w:szCs w:val="21"/>
        </w:rPr>
        <w:t>）每天进行水质检测并登记</w:t>
      </w:r>
    </w:p>
    <w:p w14:paraId="67689501">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4</w:t>
      </w:r>
      <w:r>
        <w:rPr>
          <w:rFonts w:hint="eastAsia" w:ascii="仿宋" w:hAnsi="仿宋" w:eastAsia="仿宋" w:cs="仿宋"/>
          <w:b w:val="0"/>
          <w:bCs/>
          <w:sz w:val="21"/>
          <w:szCs w:val="21"/>
          <w:lang w:val="en-US" w:eastAsia="zh-CN"/>
        </w:rPr>
        <w:t>.</w:t>
      </w:r>
      <w:r>
        <w:rPr>
          <w:rFonts w:hint="eastAsia" w:ascii="仿宋" w:hAnsi="仿宋" w:eastAsia="仿宋" w:cs="仿宋"/>
          <w:b w:val="0"/>
          <w:bCs/>
          <w:sz w:val="21"/>
          <w:szCs w:val="21"/>
        </w:rPr>
        <w:t>成交供应商员工遵守工作时间，不迟到不早退，对玩忽职守、擅自离岗，不服从管理的视情况予以处罚，严重给以开除处理。</w:t>
      </w:r>
    </w:p>
    <w:p w14:paraId="13BB241D">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5</w:t>
      </w:r>
      <w:r>
        <w:rPr>
          <w:rFonts w:hint="eastAsia" w:ascii="仿宋" w:hAnsi="仿宋" w:eastAsia="仿宋" w:cs="仿宋"/>
          <w:b w:val="0"/>
          <w:bCs/>
          <w:sz w:val="21"/>
          <w:szCs w:val="21"/>
          <w:lang w:eastAsia="zh-CN"/>
        </w:rPr>
        <w:t>.</w:t>
      </w:r>
      <w:r>
        <w:rPr>
          <w:rFonts w:hint="eastAsia" w:ascii="仿宋" w:hAnsi="仿宋" w:eastAsia="仿宋" w:cs="仿宋"/>
          <w:b w:val="0"/>
          <w:bCs/>
          <w:sz w:val="21"/>
          <w:szCs w:val="21"/>
        </w:rPr>
        <w:t>项目负责人需主动与采购方主管部门联络，定时征求意见并改进工作。项目负责人工作 日期间必须按要求到岗（上班时间为每周6天，08:00-18:00），节假日发生突发状况</w:t>
      </w:r>
      <w:r>
        <w:rPr>
          <w:rFonts w:hint="eastAsia" w:ascii="仿宋" w:hAnsi="仿宋" w:eastAsia="仿宋" w:cs="仿宋"/>
          <w:b w:val="0"/>
          <w:bCs/>
          <w:sz w:val="21"/>
          <w:szCs w:val="21"/>
          <w:lang w:eastAsia="zh-CN"/>
        </w:rPr>
        <w:t>，</w:t>
      </w:r>
      <w:r>
        <w:rPr>
          <w:rFonts w:hint="eastAsia" w:ascii="仿宋" w:hAnsi="仿宋" w:eastAsia="仿宋" w:cs="仿宋"/>
          <w:b w:val="0"/>
          <w:bCs/>
          <w:sz w:val="21"/>
          <w:szCs w:val="21"/>
          <w:lang w:val="en-US" w:eastAsia="zh-CN"/>
        </w:rPr>
        <w:t>1</w:t>
      </w:r>
      <w:r>
        <w:rPr>
          <w:rFonts w:hint="eastAsia" w:ascii="仿宋" w:hAnsi="仿宋" w:eastAsia="仿宋" w:cs="仿宋"/>
          <w:b w:val="0"/>
          <w:bCs/>
          <w:sz w:val="21"/>
          <w:szCs w:val="21"/>
        </w:rPr>
        <w:t>小时内必须到岗。项目负责人应征得采购方主管部门同意方可更换维保所需部件。</w:t>
      </w:r>
    </w:p>
    <w:p w14:paraId="316F37F0">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6</w:t>
      </w:r>
      <w:r>
        <w:rPr>
          <w:rFonts w:hint="eastAsia" w:ascii="仿宋" w:hAnsi="仿宋" w:eastAsia="仿宋" w:cs="仿宋"/>
          <w:b w:val="0"/>
          <w:bCs/>
          <w:sz w:val="21"/>
          <w:szCs w:val="21"/>
          <w:lang w:val="en-US" w:eastAsia="zh-CN"/>
        </w:rPr>
        <w:t>.</w:t>
      </w:r>
      <w:r>
        <w:rPr>
          <w:rFonts w:hint="eastAsia" w:ascii="仿宋" w:hAnsi="仿宋" w:eastAsia="仿宋" w:cs="仿宋"/>
          <w:b w:val="0"/>
          <w:bCs/>
          <w:sz w:val="21"/>
          <w:szCs w:val="21"/>
        </w:rPr>
        <w:t>成交供应商必须保证派驻人员的稳定性，如有特殊情况，工作人员需调动或离职，需提前 15 天向采购方报备，经采购方同意后方办理 ，但必须保证替换人员上岗前熟悉工作内容，接班人员上岗前须得到采购方主管部门批准方可正式上岗。</w:t>
      </w:r>
    </w:p>
    <w:p w14:paraId="5C6C9104">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7</w:t>
      </w:r>
      <w:r>
        <w:rPr>
          <w:rFonts w:hint="eastAsia" w:ascii="仿宋" w:hAnsi="仿宋" w:eastAsia="仿宋" w:cs="仿宋"/>
          <w:b w:val="0"/>
          <w:bCs/>
          <w:sz w:val="21"/>
          <w:szCs w:val="21"/>
          <w:lang w:val="en-US" w:eastAsia="zh-CN"/>
        </w:rPr>
        <w:t>.</w:t>
      </w:r>
      <w:r>
        <w:rPr>
          <w:rFonts w:hint="eastAsia" w:ascii="仿宋" w:hAnsi="仿宋" w:eastAsia="仿宋" w:cs="仿宋"/>
          <w:b w:val="0"/>
          <w:bCs/>
          <w:sz w:val="21"/>
          <w:szCs w:val="21"/>
        </w:rPr>
        <w:t>维运人员男20-55周岁；女≤50周岁</w:t>
      </w:r>
      <w:r>
        <w:rPr>
          <w:rFonts w:hint="eastAsia" w:ascii="仿宋" w:hAnsi="仿宋" w:eastAsia="仿宋" w:cs="仿宋"/>
          <w:b w:val="0"/>
          <w:bCs/>
          <w:sz w:val="21"/>
          <w:szCs w:val="21"/>
          <w:lang w:eastAsia="zh-CN"/>
        </w:rPr>
        <w:t>。</w:t>
      </w:r>
      <w:r>
        <w:rPr>
          <w:rFonts w:hint="eastAsia" w:ascii="仿宋" w:hAnsi="仿宋" w:eastAsia="仿宋" w:cs="仿宋"/>
          <w:b w:val="0"/>
          <w:bCs/>
          <w:sz w:val="21"/>
          <w:szCs w:val="21"/>
        </w:rPr>
        <w:t>工作经历</w:t>
      </w:r>
      <w:r>
        <w:rPr>
          <w:rFonts w:hint="eastAsia" w:ascii="仿宋" w:hAnsi="仿宋" w:eastAsia="仿宋" w:cs="仿宋"/>
          <w:b w:val="0"/>
          <w:bCs/>
          <w:sz w:val="21"/>
          <w:szCs w:val="21"/>
          <w:lang w:val="en-US" w:eastAsia="zh-CN"/>
        </w:rPr>
        <w:t>1</w:t>
      </w:r>
      <w:r>
        <w:rPr>
          <w:rFonts w:hint="eastAsia" w:ascii="仿宋" w:hAnsi="仿宋" w:eastAsia="仿宋" w:cs="仿宋"/>
          <w:b w:val="0"/>
          <w:bCs/>
          <w:sz w:val="21"/>
          <w:szCs w:val="21"/>
        </w:rPr>
        <w:t>年及以上。</w:t>
      </w:r>
    </w:p>
    <w:p w14:paraId="7CBCF158">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8</w:t>
      </w:r>
      <w:r>
        <w:rPr>
          <w:rFonts w:hint="eastAsia" w:ascii="仿宋" w:hAnsi="仿宋" w:eastAsia="仿宋" w:cs="仿宋"/>
          <w:b w:val="0"/>
          <w:bCs/>
          <w:sz w:val="21"/>
          <w:szCs w:val="21"/>
          <w:lang w:val="en-US" w:eastAsia="zh-CN"/>
        </w:rPr>
        <w:t>.</w:t>
      </w:r>
      <w:r>
        <w:rPr>
          <w:rFonts w:hint="eastAsia" w:ascii="仿宋" w:hAnsi="仿宋" w:eastAsia="仿宋" w:cs="仿宋"/>
          <w:b w:val="0"/>
          <w:bCs/>
          <w:sz w:val="21"/>
          <w:szCs w:val="21"/>
        </w:rPr>
        <w:t>由于采购方单位的特殊性， 对于采购方水电暖线路等信息和资料不得以</w:t>
      </w:r>
    </w:p>
    <w:p w14:paraId="5E2F23EB">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任何方式泄露。如因成交供应商泄露采购方的信息和资料而给采购方造成任何损失，成交供应商将赔偿采购方相关损失和承担相关法律责任。</w:t>
      </w:r>
    </w:p>
    <w:p w14:paraId="2E6CD68E">
      <w:pPr>
        <w:pStyle w:val="5"/>
        <w:keepNext w:val="0"/>
        <w:keepLines w:val="0"/>
        <w:pageBreakBefore w:val="0"/>
        <w:widowControl/>
        <w:kinsoku/>
        <w:wordWrap/>
        <w:overflowPunct/>
        <w:topLinePunct w:val="0"/>
        <w:autoSpaceDE/>
        <w:autoSpaceDN/>
        <w:bidi w:val="0"/>
        <w:adjustRightInd/>
        <w:snapToGrid/>
        <w:spacing w:line="360" w:lineRule="auto"/>
        <w:textAlignment w:val="auto"/>
        <w:outlineLvl w:val="2"/>
        <w:rPr>
          <w:rFonts w:hint="eastAsia" w:ascii="仿宋" w:hAnsi="仿宋" w:eastAsia="仿宋" w:cs="仿宋"/>
          <w:sz w:val="21"/>
          <w:szCs w:val="21"/>
        </w:rPr>
      </w:pPr>
      <w:r>
        <w:rPr>
          <w:rFonts w:hint="eastAsia" w:ascii="仿宋" w:hAnsi="仿宋" w:eastAsia="仿宋" w:cs="仿宋"/>
          <w:b/>
          <w:sz w:val="21"/>
          <w:szCs w:val="21"/>
        </w:rPr>
        <w:t>3.2.4设施设备要求</w:t>
      </w:r>
    </w:p>
    <w:p w14:paraId="2916E847">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采购包1：</w:t>
      </w:r>
    </w:p>
    <w:p w14:paraId="17F0C169">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w:t>
      </w:r>
    </w:p>
    <w:p w14:paraId="55F53B6F">
      <w:pPr>
        <w:pStyle w:val="5"/>
        <w:keepNext w:val="0"/>
        <w:keepLines w:val="0"/>
        <w:pageBreakBefore w:val="0"/>
        <w:widowControl/>
        <w:kinsoku/>
        <w:wordWrap/>
        <w:overflowPunct/>
        <w:topLinePunct w:val="0"/>
        <w:autoSpaceDE/>
        <w:autoSpaceDN/>
        <w:bidi w:val="0"/>
        <w:adjustRightInd/>
        <w:snapToGrid/>
        <w:spacing w:line="360" w:lineRule="auto"/>
        <w:textAlignment w:val="auto"/>
        <w:outlineLvl w:val="2"/>
        <w:rPr>
          <w:rFonts w:hint="eastAsia" w:ascii="仿宋" w:hAnsi="仿宋" w:eastAsia="仿宋" w:cs="仿宋"/>
          <w:sz w:val="21"/>
          <w:szCs w:val="21"/>
        </w:rPr>
      </w:pPr>
      <w:r>
        <w:rPr>
          <w:rFonts w:hint="eastAsia" w:ascii="仿宋" w:hAnsi="仿宋" w:eastAsia="仿宋" w:cs="仿宋"/>
          <w:b/>
          <w:sz w:val="21"/>
          <w:szCs w:val="21"/>
        </w:rPr>
        <w:t>3.2.5其他要求</w:t>
      </w:r>
    </w:p>
    <w:p w14:paraId="743605C4">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rPr>
      </w:pPr>
      <w:r>
        <w:rPr>
          <w:rFonts w:hint="eastAsia" w:ascii="仿宋" w:hAnsi="仿宋" w:eastAsia="仿宋" w:cs="仿宋"/>
          <w:sz w:val="21"/>
          <w:szCs w:val="21"/>
        </w:rPr>
        <w:t>采购包1：</w:t>
      </w:r>
    </w:p>
    <w:p w14:paraId="678B1E0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w:t>
      </w:r>
      <w:r>
        <w:rPr>
          <w:rFonts w:hint="eastAsia" w:ascii="仿宋" w:hAnsi="仿宋" w:eastAsia="仿宋" w:cs="仿宋"/>
          <w:b w:val="0"/>
          <w:bCs/>
          <w:sz w:val="21"/>
          <w:szCs w:val="21"/>
        </w:rPr>
        <w:t>成交供应商应服从采购方的管理， 听从采购方的指令。</w:t>
      </w:r>
    </w:p>
    <w:p w14:paraId="2AE62600">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2.</w:t>
      </w:r>
      <w:r>
        <w:rPr>
          <w:rFonts w:hint="eastAsia" w:ascii="仿宋" w:hAnsi="仿宋" w:eastAsia="仿宋" w:cs="仿宋"/>
          <w:b w:val="0"/>
          <w:bCs/>
          <w:sz w:val="21"/>
          <w:szCs w:val="21"/>
        </w:rPr>
        <w:t>成交供应商应在入场1</w:t>
      </w:r>
      <w:r>
        <w:rPr>
          <w:rFonts w:hint="eastAsia" w:ascii="仿宋" w:hAnsi="仿宋" w:eastAsia="仿宋" w:cs="仿宋"/>
          <w:b w:val="0"/>
          <w:bCs/>
          <w:sz w:val="21"/>
          <w:szCs w:val="21"/>
          <w:lang w:val="en-US" w:eastAsia="zh-CN"/>
        </w:rPr>
        <w:t>个</w:t>
      </w:r>
      <w:r>
        <w:rPr>
          <w:rFonts w:hint="eastAsia" w:ascii="仿宋" w:hAnsi="仿宋" w:eastAsia="仿宋" w:cs="仿宋"/>
          <w:b w:val="0"/>
          <w:bCs/>
          <w:sz w:val="21"/>
          <w:szCs w:val="21"/>
        </w:rPr>
        <w:t>月内熟悉本院水、电线路、管道、设备规格、安装年限、区域位置、使用状况，并于入场的次月初向采购方提交年度保养维修计划、技术类表格（包括不限于设备管理台账和设备监测管理表格、设备巡检表格、交班记录表格等）等，并经采购方管理人员确认。</w:t>
      </w:r>
    </w:p>
    <w:p w14:paraId="36A2CCB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3.</w:t>
      </w:r>
      <w:r>
        <w:rPr>
          <w:rFonts w:hint="eastAsia" w:ascii="仿宋" w:hAnsi="仿宋" w:eastAsia="仿宋" w:cs="仿宋"/>
          <w:b w:val="0"/>
          <w:bCs/>
          <w:sz w:val="21"/>
          <w:szCs w:val="21"/>
        </w:rPr>
        <w:t>供应商的技术保障</w:t>
      </w:r>
    </w:p>
    <w:p w14:paraId="42BDDEB0">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lang w:eastAsia="zh-CN"/>
        </w:rPr>
      </w:pPr>
      <w:r>
        <w:rPr>
          <w:rFonts w:hint="eastAsia" w:ascii="仿宋" w:hAnsi="仿宋" w:eastAsia="仿宋" w:cs="仿宋"/>
          <w:b w:val="0"/>
          <w:bCs/>
          <w:sz w:val="21"/>
          <w:szCs w:val="21"/>
        </w:rPr>
        <w:t>1） 熟悉院区供配电系统、配电平面位置、给排水系统等，配置有丰富经验的项目负责人及水平较高的电工、水工服务于现场，定期对现场服务人员培训</w:t>
      </w:r>
      <w:r>
        <w:rPr>
          <w:rFonts w:hint="eastAsia" w:ascii="仿宋" w:hAnsi="仿宋" w:eastAsia="仿宋" w:cs="仿宋"/>
          <w:b w:val="0"/>
          <w:bCs/>
          <w:sz w:val="21"/>
          <w:szCs w:val="21"/>
          <w:lang w:eastAsia="zh-CN"/>
        </w:rPr>
        <w:t>。</w:t>
      </w:r>
    </w:p>
    <w:p w14:paraId="7F48A6B2">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2） 建立健全的技术图纸和完善的技术资料</w:t>
      </w:r>
    </w:p>
    <w:p w14:paraId="75E465D5">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3） 建立清晰的设备管理台账和设备巡检等技术表格</w:t>
      </w:r>
    </w:p>
    <w:p w14:paraId="02C90FC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4） 建立有效的操作规程、完善的安全防护保障制度等</w:t>
      </w:r>
    </w:p>
    <w:p w14:paraId="675FDFB0">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lang w:eastAsia="zh-CN"/>
        </w:rPr>
      </w:pPr>
      <w:r>
        <w:rPr>
          <w:rFonts w:hint="eastAsia" w:ascii="仿宋" w:hAnsi="仿宋" w:eastAsia="仿宋" w:cs="仿宋"/>
          <w:b w:val="0"/>
          <w:bCs/>
          <w:sz w:val="21"/>
          <w:szCs w:val="21"/>
        </w:rPr>
        <w:t>5） 严格按照供电局安全规定，进行日常维修和正确规范的电工操作</w:t>
      </w:r>
      <w:r>
        <w:rPr>
          <w:rFonts w:hint="eastAsia" w:ascii="仿宋" w:hAnsi="仿宋" w:eastAsia="仿宋" w:cs="仿宋"/>
          <w:b w:val="0"/>
          <w:bCs/>
          <w:sz w:val="21"/>
          <w:szCs w:val="21"/>
          <w:lang w:eastAsia="zh-CN"/>
        </w:rPr>
        <w:t>。</w:t>
      </w:r>
    </w:p>
    <w:p w14:paraId="1717D08B">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rPr>
        <w:t>6） 制定应急预案，每年至少2次开展突发停电事件应急处置演练</w:t>
      </w:r>
    </w:p>
    <w:p w14:paraId="41A94125">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4.</w:t>
      </w:r>
      <w:r>
        <w:rPr>
          <w:rFonts w:hint="eastAsia" w:ascii="仿宋" w:hAnsi="仿宋" w:eastAsia="仿宋" w:cs="仿宋"/>
          <w:b w:val="0"/>
          <w:bCs/>
          <w:sz w:val="21"/>
          <w:szCs w:val="21"/>
        </w:rPr>
        <w:t>本水电管理运行维保服务项目，维护 365 天 24 小时不间断的巡查服务制度，成交供应商不得以任何借口推脱懈怠。</w:t>
      </w:r>
    </w:p>
    <w:p w14:paraId="1A40D387">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5.</w:t>
      </w:r>
      <w:r>
        <w:rPr>
          <w:rFonts w:hint="eastAsia" w:ascii="仿宋" w:hAnsi="仿宋" w:eastAsia="仿宋" w:cs="仿宋"/>
          <w:b w:val="0"/>
          <w:bCs/>
          <w:sz w:val="21"/>
          <w:szCs w:val="21"/>
        </w:rPr>
        <w:t>成交供应商运维人员自行配备工作所需的工具及设备， 工作时设置现场安全警示标志，落实作业现场安全防护措施，保证作业安全。</w:t>
      </w:r>
    </w:p>
    <w:p w14:paraId="36386772">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6.</w:t>
      </w:r>
      <w:r>
        <w:rPr>
          <w:rFonts w:hint="eastAsia" w:ascii="仿宋" w:hAnsi="仿宋" w:eastAsia="仿宋" w:cs="仿宋"/>
          <w:b w:val="0"/>
          <w:bCs/>
          <w:sz w:val="21"/>
          <w:szCs w:val="21"/>
        </w:rPr>
        <w:t>成交供应商作业中应当负责落实现场安全防护措施，保证作业安全。需要安全监护作业的内容应书面告知采购方，作业时作业人员不得少于二人，高空作业人员必须要有高空作业证，焊接作业人员必须有焊工作业证书。</w:t>
      </w:r>
    </w:p>
    <w:p w14:paraId="72C5701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7.</w:t>
      </w:r>
      <w:r>
        <w:rPr>
          <w:rFonts w:hint="eastAsia" w:ascii="仿宋" w:hAnsi="仿宋" w:eastAsia="仿宋" w:cs="仿宋"/>
          <w:b w:val="0"/>
          <w:bCs/>
          <w:sz w:val="21"/>
          <w:szCs w:val="21"/>
        </w:rPr>
        <w:t>采购方提供给成交供应商的各种资料 ，成交供应商应妥善保管，未经买方同意不得复印和转借，合同期满后完好交回。</w:t>
      </w:r>
    </w:p>
    <w:p w14:paraId="6829D0BA">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8.</w:t>
      </w:r>
      <w:r>
        <w:rPr>
          <w:rFonts w:hint="eastAsia" w:ascii="仿宋" w:hAnsi="仿宋" w:eastAsia="仿宋" w:cs="仿宋"/>
          <w:b w:val="0"/>
          <w:bCs/>
          <w:sz w:val="21"/>
          <w:szCs w:val="21"/>
        </w:rPr>
        <w:t>成交供应商每次维护后应提交书面维护报告给采购方，双方签字存档；运行维保合同期满后，成交供应商应向采购方提交详细的维修保养报告和维修统计资料等。</w:t>
      </w:r>
    </w:p>
    <w:p w14:paraId="50EE0DA8">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9.</w:t>
      </w:r>
      <w:r>
        <w:rPr>
          <w:rFonts w:hint="eastAsia" w:ascii="仿宋" w:hAnsi="仿宋" w:eastAsia="仿宋" w:cs="仿宋"/>
          <w:b w:val="0"/>
          <w:bCs/>
          <w:sz w:val="21"/>
          <w:szCs w:val="21"/>
        </w:rPr>
        <w:t>成交供应商应当妥善保管采购方提供图纸及相关资料，并在合同终止后交给采购方。</w:t>
      </w:r>
    </w:p>
    <w:p w14:paraId="3B9B969C">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10.</w:t>
      </w:r>
      <w:r>
        <w:rPr>
          <w:rFonts w:hint="eastAsia" w:ascii="仿宋" w:hAnsi="仿宋" w:eastAsia="仿宋" w:cs="仿宋"/>
          <w:b w:val="0"/>
          <w:bCs/>
          <w:sz w:val="21"/>
          <w:szCs w:val="21"/>
        </w:rPr>
        <w:t>成交供应商应当协助采购方建立健全安全管理制度、安全技术档案、应急救援预案，配合采购方开展应急救援演练。</w:t>
      </w:r>
    </w:p>
    <w:p w14:paraId="3BED1D9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11.</w:t>
      </w:r>
      <w:r>
        <w:rPr>
          <w:rFonts w:hint="eastAsia" w:ascii="仿宋" w:hAnsi="仿宋" w:eastAsia="仿宋" w:cs="仿宋"/>
          <w:b w:val="0"/>
          <w:bCs/>
          <w:sz w:val="21"/>
          <w:szCs w:val="21"/>
        </w:rPr>
        <w:t>成交供应商的员工应遵纪守法，及时处理突发事件，并做好有效的投诉处理。</w:t>
      </w:r>
    </w:p>
    <w:p w14:paraId="77A218E3">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12.</w:t>
      </w:r>
      <w:r>
        <w:rPr>
          <w:rFonts w:hint="eastAsia" w:ascii="仿宋" w:hAnsi="仿宋" w:eastAsia="仿宋" w:cs="仿宋"/>
          <w:b w:val="0"/>
          <w:bCs/>
          <w:sz w:val="21"/>
          <w:szCs w:val="21"/>
        </w:rPr>
        <w:t>成交供应商如未能按时、保质完成本项目设计的各个系统的维护工作，或因工作不当造成的责任事故，应赔偿由此给采购方造成的经济损失。</w:t>
      </w:r>
    </w:p>
    <w:p w14:paraId="096F1E8F">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13.</w:t>
      </w:r>
      <w:r>
        <w:rPr>
          <w:rFonts w:hint="eastAsia" w:ascii="仿宋" w:hAnsi="仿宋" w:eastAsia="仿宋" w:cs="仿宋"/>
          <w:b w:val="0"/>
          <w:bCs/>
          <w:sz w:val="21"/>
          <w:szCs w:val="21"/>
        </w:rPr>
        <w:t>采购方在院内为成交供应商提供办公用房，房屋的管理须遵守采购方的相关规定，若出现违规使用情况，采购方将严重处罚成交供应商。若发生人、物等灾害性事故， 由成交供应商负全责。</w:t>
      </w:r>
    </w:p>
    <w:p w14:paraId="6AA7EC95">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14.</w:t>
      </w:r>
      <w:r>
        <w:rPr>
          <w:rFonts w:hint="eastAsia" w:ascii="仿宋" w:hAnsi="仿宋" w:eastAsia="仿宋" w:cs="仿宋"/>
          <w:b w:val="0"/>
          <w:bCs/>
          <w:sz w:val="21"/>
          <w:szCs w:val="21"/>
        </w:rPr>
        <w:t>维保人员故意损坏、窃取医院财物、设备或因工作失误造成严重事故的，医院有权终止合同，并由维保公司赔偿一切损失，并承担相应的经济及法律责任。</w:t>
      </w:r>
    </w:p>
    <w:p w14:paraId="0BBC133E">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15.</w:t>
      </w:r>
      <w:r>
        <w:rPr>
          <w:rFonts w:hint="eastAsia" w:ascii="仿宋" w:hAnsi="仿宋" w:eastAsia="仿宋" w:cs="仿宋"/>
          <w:b w:val="0"/>
          <w:bCs/>
          <w:sz w:val="21"/>
          <w:szCs w:val="21"/>
        </w:rPr>
        <w:t>供应商应遵守采购方的管理制度和疫情防控要求， 自行承担防疫成本。</w:t>
      </w:r>
    </w:p>
    <w:p w14:paraId="593D5E7D">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16.</w:t>
      </w:r>
      <w:r>
        <w:rPr>
          <w:rFonts w:hint="eastAsia" w:ascii="仿宋" w:hAnsi="仿宋" w:eastAsia="仿宋" w:cs="仿宋"/>
          <w:b w:val="0"/>
          <w:bCs/>
          <w:sz w:val="21"/>
          <w:szCs w:val="21"/>
        </w:rPr>
        <w:t>其它事宜在运行维保合同中体现。</w:t>
      </w:r>
    </w:p>
    <w:p w14:paraId="03B1C6F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sz w:val="21"/>
          <w:szCs w:val="21"/>
        </w:rPr>
      </w:pPr>
      <w:r>
        <w:rPr>
          <w:rFonts w:hint="eastAsia" w:ascii="仿宋" w:hAnsi="仿宋" w:eastAsia="仿宋" w:cs="仿宋"/>
          <w:b w:val="0"/>
          <w:bCs/>
          <w:sz w:val="21"/>
          <w:szCs w:val="21"/>
          <w:lang w:val="en-US" w:eastAsia="zh-CN"/>
        </w:rPr>
        <w:t>17.</w:t>
      </w:r>
      <w:r>
        <w:rPr>
          <w:rFonts w:hint="eastAsia" w:ascii="仿宋" w:hAnsi="仿宋" w:eastAsia="仿宋" w:cs="仿宋"/>
          <w:b w:val="0"/>
          <w:bCs/>
          <w:sz w:val="21"/>
          <w:szCs w:val="21"/>
        </w:rPr>
        <w:t>因保养或维护不当造成的设备故障由中标人承担责任。从第二个服务期开始，巡检、维护、保养过程中未发现隐患而发生的主要设备（供水泵、二次加压泵、配电柜、变压器） 的故障维修由成交供应商承担一半费用。</w:t>
      </w:r>
    </w:p>
    <w:p w14:paraId="5B71488E">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rPr>
      </w:pPr>
      <w:r>
        <w:rPr>
          <w:rFonts w:hint="eastAsia" w:ascii="仿宋" w:hAnsi="仿宋" w:eastAsia="仿宋" w:cs="仿宋"/>
          <w:b/>
          <w:sz w:val="21"/>
          <w:szCs w:val="21"/>
        </w:rPr>
        <w:t>3.3商务要求</w:t>
      </w:r>
    </w:p>
    <w:p w14:paraId="047ED820">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rPr>
      </w:pPr>
      <w:r>
        <w:rPr>
          <w:rFonts w:hint="eastAsia" w:ascii="仿宋" w:hAnsi="仿宋" w:eastAsia="仿宋" w:cs="仿宋"/>
          <w:b/>
          <w:sz w:val="21"/>
          <w:szCs w:val="21"/>
        </w:rPr>
        <w:t>3.3.1服务期限</w:t>
      </w:r>
    </w:p>
    <w:p w14:paraId="3001FA0B">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采购包1：</w:t>
      </w:r>
    </w:p>
    <w:p w14:paraId="666E8D2C">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服务期限：3年，合同每年一签。当期合同履行期满前两个月进行工作考核，采购人可视服务方的服务情况及考核情况，经报请医院批准，可与服务方续签下一期合同，续签次数不得超过两次，总服务期限不得超过</w:t>
      </w: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lang w:eastAsia="zh-CN"/>
        </w:rPr>
        <w:t>年，续签合同价格不予调整。</w:t>
      </w:r>
    </w:p>
    <w:p w14:paraId="43A48657">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3.3.2服务地点</w:t>
      </w:r>
    </w:p>
    <w:p w14:paraId="59DDBD2B">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采购包1：</w:t>
      </w:r>
    </w:p>
    <w:p w14:paraId="38C35B5F">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采购人指定地点</w:t>
      </w:r>
    </w:p>
    <w:p w14:paraId="7D105125">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3.3.3考核（验收）标准和方法</w:t>
      </w:r>
    </w:p>
    <w:p w14:paraId="1B781850">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采购包1：</w:t>
      </w:r>
    </w:p>
    <w:p w14:paraId="79B2C2BC">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详见合同条款</w:t>
      </w:r>
    </w:p>
    <w:p w14:paraId="03D5DC01">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3.3.4支付方式</w:t>
      </w:r>
    </w:p>
    <w:p w14:paraId="2412362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采购包1：</w:t>
      </w:r>
    </w:p>
    <w:p w14:paraId="1A7F6900">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分期付款</w:t>
      </w:r>
    </w:p>
    <w:p w14:paraId="7D1AE1EC">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3.3.5支付约定</w:t>
      </w:r>
    </w:p>
    <w:p w14:paraId="42847B91">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采购包1： 付款条件说明：服务期满</w:t>
      </w:r>
      <w:r>
        <w:rPr>
          <w:rFonts w:hint="eastAsia" w:ascii="仿宋" w:hAnsi="仿宋" w:eastAsia="仿宋" w:cs="仿宋"/>
          <w:sz w:val="21"/>
          <w:szCs w:val="21"/>
          <w:highlight w:val="none"/>
          <w:lang w:val="en-US" w:eastAsia="zh-CN"/>
        </w:rPr>
        <w:t>6个月</w:t>
      </w:r>
      <w:r>
        <w:rPr>
          <w:rFonts w:hint="eastAsia" w:ascii="仿宋" w:hAnsi="仿宋" w:eastAsia="仿宋" w:cs="仿宋"/>
          <w:sz w:val="21"/>
          <w:szCs w:val="21"/>
          <w:highlight w:val="none"/>
        </w:rPr>
        <w:t xml:space="preserve">，达到付款条件起 30 日内，支付合同总金额的 </w:t>
      </w:r>
      <w:r>
        <w:rPr>
          <w:rFonts w:hint="eastAsia" w:ascii="仿宋" w:hAnsi="仿宋" w:eastAsia="仿宋" w:cs="仿宋"/>
          <w:sz w:val="21"/>
          <w:szCs w:val="21"/>
          <w:highlight w:val="none"/>
          <w:lang w:val="en-US" w:eastAsia="zh-CN"/>
        </w:rPr>
        <w:t>50</w:t>
      </w:r>
      <w:r>
        <w:rPr>
          <w:rFonts w:hint="eastAsia" w:ascii="仿宋" w:hAnsi="仿宋" w:eastAsia="仿宋" w:cs="仿宋"/>
          <w:sz w:val="21"/>
          <w:szCs w:val="21"/>
          <w:highlight w:val="none"/>
        </w:rPr>
        <w:t>.00%</w:t>
      </w:r>
      <w:r>
        <w:rPr>
          <w:rFonts w:hint="eastAsia" w:ascii="仿宋" w:hAnsi="仿宋" w:eastAsia="仿宋" w:cs="仿宋"/>
          <w:sz w:val="21"/>
          <w:szCs w:val="21"/>
          <w:highlight w:val="none"/>
          <w:lang w:eastAsia="zh-CN"/>
        </w:rPr>
        <w:t>；服务期满2年，达到付款条件起 30 日内，支付合同总金额的 50.00%。</w:t>
      </w:r>
    </w:p>
    <w:p w14:paraId="3A6867D9">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3.3.6违约责任及解决争议的方法</w:t>
      </w:r>
    </w:p>
    <w:p w14:paraId="793DC8E8">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采购包1：</w:t>
      </w:r>
    </w:p>
    <w:p w14:paraId="6A0F79B4">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1、合同违约责任按《中华人民共和国政府采购法》中的相关条款执行。 2、供应商未全面履行合同义务或发生违约，采购人有权终止合同，并依法向供应商进行经济索赔。 3、其他违约责任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5834C147">
      <w:pPr>
        <w:pStyle w:val="5"/>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3.4其他要求</w:t>
      </w:r>
    </w:p>
    <w:p w14:paraId="7B031DF6">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rPr>
        <w:t>服务考核要求</w:t>
      </w:r>
      <w:r>
        <w:rPr>
          <w:rFonts w:hint="eastAsia" w:ascii="仿宋" w:hAnsi="仿宋" w:eastAsia="仿宋" w:cs="仿宋"/>
          <w:sz w:val="21"/>
          <w:szCs w:val="21"/>
          <w:lang w:val="en-US" w:eastAsia="zh-CN"/>
        </w:rPr>
        <w:t>:</w:t>
      </w:r>
    </w:p>
    <w:p w14:paraId="5E25E240">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rPr>
      </w:pPr>
      <w:r>
        <w:rPr>
          <w:rFonts w:hint="eastAsia" w:ascii="仿宋" w:hAnsi="仿宋" w:eastAsia="仿宋" w:cs="仿宋"/>
          <w:sz w:val="21"/>
          <w:szCs w:val="21"/>
        </w:rPr>
        <w:t>1成交供应商每日提交运行维保记录表由采购方制定的管理人员签字确认。</w:t>
      </w:r>
    </w:p>
    <w:p w14:paraId="25D6C1EE">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rPr>
      </w:pPr>
      <w:r>
        <w:rPr>
          <w:rFonts w:hint="eastAsia" w:ascii="仿宋" w:hAnsi="仿宋" w:eastAsia="仿宋" w:cs="仿宋"/>
          <w:sz w:val="21"/>
          <w:szCs w:val="21"/>
        </w:rPr>
        <w:t>2成交供应商每月应提交运行维保项目的月度工作</w:t>
      </w:r>
      <w:r>
        <w:rPr>
          <w:rFonts w:hint="eastAsia" w:ascii="仿宋" w:hAnsi="仿宋" w:eastAsia="仿宋" w:cs="仿宋"/>
          <w:sz w:val="21"/>
          <w:szCs w:val="21"/>
          <w:lang w:eastAsia="zh-CN"/>
        </w:rPr>
        <w:t>汇报及下月工作计划</w:t>
      </w:r>
      <w:r>
        <w:rPr>
          <w:rFonts w:hint="eastAsia" w:ascii="仿宋" w:hAnsi="仿宋" w:eastAsia="仿宋" w:cs="仿宋"/>
          <w:sz w:val="21"/>
          <w:szCs w:val="21"/>
        </w:rPr>
        <w:t>，</w:t>
      </w:r>
      <w:r>
        <w:rPr>
          <w:rFonts w:hint="eastAsia" w:ascii="仿宋" w:hAnsi="仿宋" w:eastAsia="仿宋" w:cs="仿宋"/>
          <w:sz w:val="21"/>
          <w:szCs w:val="21"/>
          <w:lang w:eastAsia="zh-CN"/>
        </w:rPr>
        <w:t>总结</w:t>
      </w:r>
      <w:r>
        <w:rPr>
          <w:rFonts w:hint="eastAsia" w:ascii="仿宋" w:hAnsi="仿宋" w:eastAsia="仿宋" w:cs="仿宋"/>
          <w:sz w:val="21"/>
          <w:szCs w:val="21"/>
        </w:rPr>
        <w:t>内容应包括人员、制度、工作内容、安全质量、环境、资料档案及存在问题和改进等，工作汇报作为考核内容应真实，</w:t>
      </w:r>
      <w:bookmarkStart w:id="0" w:name="_GoBack"/>
      <w:bookmarkEnd w:id="0"/>
      <w:r>
        <w:rPr>
          <w:rFonts w:hint="eastAsia" w:ascii="仿宋" w:hAnsi="仿宋" w:eastAsia="仿宋" w:cs="仿宋"/>
          <w:sz w:val="21"/>
          <w:szCs w:val="21"/>
        </w:rPr>
        <w:t>作为采购方的月度考核依据，做为季度支付的依据。</w:t>
      </w:r>
    </w:p>
    <w:p w14:paraId="4DDEB4B5">
      <w:pPr>
        <w:pStyle w:val="5"/>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 w:val="21"/>
          <w:szCs w:val="21"/>
        </w:rPr>
      </w:pPr>
      <w:r>
        <w:rPr>
          <w:rFonts w:hint="eastAsia" w:ascii="仿宋" w:hAnsi="仿宋" w:eastAsia="仿宋" w:cs="仿宋"/>
          <w:sz w:val="21"/>
          <w:szCs w:val="21"/>
        </w:rPr>
        <w:t>3采购方每月对成交供应商的工作情况考核一次，每季度计算一次支付金额。下表为考核服务的参考表（本表仅为参考，签署合同时双方共同制定考核表）</w:t>
      </w:r>
    </w:p>
    <w:p w14:paraId="4E6EF91E">
      <w:pPr>
        <w:pStyle w:val="5"/>
        <w:rPr>
          <w:rFonts w:hint="eastAsia" w:ascii="仿宋_GB2312" w:hAnsi="仿宋_GB2312" w:eastAsia="仿宋_GB2312" w:cs="仿宋_GB2312"/>
        </w:rPr>
      </w:pPr>
    </w:p>
    <w:tbl>
      <w:tblPr>
        <w:tblStyle w:val="3"/>
        <w:tblW w:w="8939" w:type="dxa"/>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9"/>
        <w:gridCol w:w="1933"/>
        <w:gridCol w:w="2232"/>
        <w:gridCol w:w="2448"/>
        <w:gridCol w:w="607"/>
        <w:gridCol w:w="820"/>
      </w:tblGrid>
      <w:tr w14:paraId="04C3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9" w:hRule="atLeast"/>
          <w:tblHeader/>
        </w:trPr>
        <w:tc>
          <w:tcPr>
            <w:tcW w:w="7512" w:type="dxa"/>
            <w:gridSpan w:val="4"/>
            <w:noWrap w:val="0"/>
            <w:vAlign w:val="center"/>
          </w:tcPr>
          <w:p w14:paraId="4D51A7D1">
            <w:pPr>
              <w:pStyle w:val="5"/>
              <w:jc w:val="center"/>
              <w:rPr>
                <w:rFonts w:hint="eastAsia" w:ascii="仿宋_GB2312" w:hAnsi="仿宋_GB2312" w:eastAsia="仿宋_GB2312" w:cs="仿宋_GB2312"/>
              </w:rPr>
            </w:pPr>
            <w:r>
              <w:rPr>
                <w:rFonts w:hint="eastAsia" w:ascii="仿宋_GB2312" w:hAnsi="仿宋_GB2312" w:eastAsia="仿宋_GB2312" w:cs="仿宋_GB2312"/>
              </w:rPr>
              <w:t>考  核  标  准</w:t>
            </w:r>
          </w:p>
        </w:tc>
        <w:tc>
          <w:tcPr>
            <w:tcW w:w="607" w:type="dxa"/>
            <w:noWrap w:val="0"/>
            <w:vAlign w:val="center"/>
          </w:tcPr>
          <w:p w14:paraId="38144BD3">
            <w:pPr>
              <w:pStyle w:val="5"/>
              <w:rPr>
                <w:rFonts w:hint="eastAsia" w:ascii="仿宋_GB2312" w:hAnsi="仿宋_GB2312" w:eastAsia="仿宋_GB2312" w:cs="仿宋_GB2312"/>
              </w:rPr>
            </w:pPr>
            <w:r>
              <w:rPr>
                <w:rFonts w:hint="eastAsia" w:ascii="仿宋_GB2312" w:hAnsi="仿宋_GB2312" w:eastAsia="仿宋_GB2312" w:cs="仿宋_GB2312"/>
              </w:rPr>
              <w:t>扣分</w:t>
            </w:r>
          </w:p>
        </w:tc>
        <w:tc>
          <w:tcPr>
            <w:tcW w:w="820" w:type="dxa"/>
            <w:noWrap w:val="0"/>
            <w:vAlign w:val="center"/>
          </w:tcPr>
          <w:p w14:paraId="08BD5592">
            <w:pPr>
              <w:pStyle w:val="5"/>
              <w:rPr>
                <w:rFonts w:hint="eastAsia" w:ascii="仿宋_GB2312" w:hAnsi="仿宋_GB2312" w:eastAsia="仿宋_GB2312" w:cs="仿宋_GB2312"/>
              </w:rPr>
            </w:pPr>
            <w:r>
              <w:rPr>
                <w:rFonts w:hint="eastAsia" w:ascii="仿宋_GB2312" w:hAnsi="仿宋_GB2312" w:eastAsia="仿宋_GB2312" w:cs="仿宋_GB2312"/>
              </w:rPr>
              <w:t>备注</w:t>
            </w:r>
          </w:p>
        </w:tc>
      </w:tr>
      <w:tr w14:paraId="67BA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trPr>
        <w:tc>
          <w:tcPr>
            <w:tcW w:w="899" w:type="dxa"/>
            <w:vMerge w:val="restart"/>
            <w:noWrap w:val="0"/>
            <w:vAlign w:val="center"/>
          </w:tcPr>
          <w:p w14:paraId="5CD6C8B9">
            <w:pPr>
              <w:pStyle w:val="5"/>
              <w:rPr>
                <w:rFonts w:hint="eastAsia" w:ascii="仿宋_GB2312" w:hAnsi="仿宋_GB2312" w:eastAsia="仿宋_GB2312" w:cs="仿宋_GB2312"/>
              </w:rPr>
            </w:pPr>
            <w:r>
              <w:rPr>
                <w:rFonts w:hint="eastAsia" w:ascii="仿宋_GB2312" w:hAnsi="仿宋_GB2312" w:eastAsia="仿宋_GB2312" w:cs="仿宋_GB2312"/>
              </w:rPr>
              <w:t>运维人员</w:t>
            </w:r>
          </w:p>
          <w:p w14:paraId="467CA147">
            <w:pPr>
              <w:pStyle w:val="5"/>
              <w:rPr>
                <w:rFonts w:hint="eastAsia" w:ascii="仿宋_GB2312" w:hAnsi="仿宋_GB2312" w:eastAsia="仿宋_GB2312" w:cs="仿宋_GB2312"/>
              </w:rPr>
            </w:pPr>
            <w:r>
              <w:rPr>
                <w:rFonts w:hint="eastAsia" w:ascii="仿宋_GB2312" w:hAnsi="仿宋_GB2312" w:eastAsia="仿宋_GB2312" w:cs="仿宋_GB2312"/>
              </w:rPr>
              <w:t>服务</w:t>
            </w:r>
          </w:p>
          <w:p w14:paraId="2444D3BA">
            <w:pPr>
              <w:pStyle w:val="5"/>
              <w:rPr>
                <w:rFonts w:hint="eastAsia" w:ascii="仿宋_GB2312" w:hAnsi="仿宋_GB2312" w:eastAsia="仿宋_GB2312" w:cs="仿宋_GB2312"/>
              </w:rPr>
            </w:pPr>
            <w:r>
              <w:rPr>
                <w:rFonts w:hint="eastAsia" w:ascii="仿宋_GB2312" w:hAnsi="仿宋_GB2312" w:eastAsia="仿宋_GB2312" w:cs="仿宋_GB2312"/>
              </w:rPr>
              <w:t>标准</w:t>
            </w:r>
          </w:p>
        </w:tc>
        <w:tc>
          <w:tcPr>
            <w:tcW w:w="6613" w:type="dxa"/>
            <w:gridSpan w:val="3"/>
            <w:noWrap w:val="0"/>
            <w:vAlign w:val="center"/>
          </w:tcPr>
          <w:p w14:paraId="6F056FB7">
            <w:pPr>
              <w:pStyle w:val="5"/>
              <w:rPr>
                <w:rFonts w:hint="eastAsia" w:ascii="仿宋_GB2312" w:hAnsi="仿宋_GB2312" w:eastAsia="仿宋_GB2312" w:cs="仿宋_GB2312"/>
              </w:rPr>
            </w:pPr>
            <w:r>
              <w:rPr>
                <w:rFonts w:hint="eastAsia" w:ascii="仿宋_GB2312" w:hAnsi="仿宋_GB2312" w:eastAsia="仿宋_GB2312" w:cs="仿宋_GB2312"/>
              </w:rPr>
              <w:t>1、运维人员持证上岗，着装整齐，劳动防护用品穿戴整齐，标识清晰，每次不符扣1分；</w:t>
            </w:r>
          </w:p>
        </w:tc>
        <w:tc>
          <w:tcPr>
            <w:tcW w:w="607" w:type="dxa"/>
            <w:noWrap w:val="0"/>
            <w:vAlign w:val="center"/>
          </w:tcPr>
          <w:p w14:paraId="3E7591B3">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6DECAB27">
            <w:pPr>
              <w:pStyle w:val="5"/>
              <w:rPr>
                <w:rFonts w:hint="eastAsia" w:ascii="仿宋_GB2312" w:hAnsi="仿宋_GB2312" w:eastAsia="仿宋_GB2312" w:cs="仿宋_GB2312"/>
              </w:rPr>
            </w:pPr>
          </w:p>
        </w:tc>
      </w:tr>
      <w:tr w14:paraId="37846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251AE47C">
            <w:pPr>
              <w:pStyle w:val="5"/>
              <w:rPr>
                <w:rFonts w:hint="eastAsia" w:ascii="仿宋_GB2312" w:hAnsi="仿宋_GB2312" w:eastAsia="仿宋_GB2312" w:cs="仿宋_GB2312"/>
              </w:rPr>
            </w:pPr>
          </w:p>
        </w:tc>
        <w:tc>
          <w:tcPr>
            <w:tcW w:w="6613" w:type="dxa"/>
            <w:gridSpan w:val="3"/>
            <w:noWrap w:val="0"/>
            <w:vAlign w:val="center"/>
          </w:tcPr>
          <w:p w14:paraId="6FF8166F">
            <w:pPr>
              <w:pStyle w:val="5"/>
              <w:rPr>
                <w:rFonts w:hint="eastAsia" w:ascii="仿宋_GB2312" w:hAnsi="仿宋_GB2312" w:eastAsia="仿宋_GB2312" w:cs="仿宋_GB2312"/>
              </w:rPr>
            </w:pPr>
            <w:r>
              <w:rPr>
                <w:rFonts w:hint="eastAsia" w:ascii="仿宋_GB2312" w:hAnsi="仿宋_GB2312" w:eastAsia="仿宋_GB2312" w:cs="仿宋_GB2312"/>
              </w:rPr>
              <w:t>2、运维人员言行举止，文明有礼,保持场地整洁，人走场清，保持班房卫生清洁，每次不符扣1分；</w:t>
            </w:r>
          </w:p>
        </w:tc>
        <w:tc>
          <w:tcPr>
            <w:tcW w:w="607" w:type="dxa"/>
            <w:noWrap w:val="0"/>
            <w:vAlign w:val="center"/>
          </w:tcPr>
          <w:p w14:paraId="21DE7088">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381CDB0B">
            <w:pPr>
              <w:pStyle w:val="5"/>
              <w:rPr>
                <w:rFonts w:hint="eastAsia" w:ascii="仿宋_GB2312" w:hAnsi="仿宋_GB2312" w:eastAsia="仿宋_GB2312" w:cs="仿宋_GB2312"/>
              </w:rPr>
            </w:pPr>
          </w:p>
        </w:tc>
      </w:tr>
      <w:tr w14:paraId="2559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trPr>
        <w:tc>
          <w:tcPr>
            <w:tcW w:w="899" w:type="dxa"/>
            <w:vMerge w:val="continue"/>
            <w:noWrap w:val="0"/>
            <w:vAlign w:val="center"/>
          </w:tcPr>
          <w:p w14:paraId="26987276">
            <w:pPr>
              <w:pStyle w:val="5"/>
              <w:rPr>
                <w:rFonts w:hint="eastAsia" w:ascii="仿宋_GB2312" w:hAnsi="仿宋_GB2312" w:eastAsia="仿宋_GB2312" w:cs="仿宋_GB2312"/>
              </w:rPr>
            </w:pPr>
          </w:p>
        </w:tc>
        <w:tc>
          <w:tcPr>
            <w:tcW w:w="6613" w:type="dxa"/>
            <w:gridSpan w:val="3"/>
            <w:noWrap w:val="0"/>
            <w:vAlign w:val="center"/>
          </w:tcPr>
          <w:p w14:paraId="7F4FE6E0">
            <w:pPr>
              <w:pStyle w:val="5"/>
              <w:rPr>
                <w:rFonts w:hint="eastAsia" w:ascii="仿宋_GB2312" w:hAnsi="仿宋_GB2312" w:eastAsia="仿宋_GB2312" w:cs="仿宋_GB2312"/>
              </w:rPr>
            </w:pPr>
            <w:r>
              <w:rPr>
                <w:rFonts w:hint="eastAsia" w:ascii="仿宋_GB2312" w:hAnsi="仿宋_GB2312" w:eastAsia="仿宋_GB2312" w:cs="仿宋_GB2312"/>
              </w:rPr>
              <w:t>3、运维人员应遵守合同约定，</w:t>
            </w:r>
            <w:r>
              <w:rPr>
                <w:rFonts w:hint="eastAsia" w:ascii="仿宋_GB2312" w:hAnsi="仿宋_GB2312" w:eastAsia="仿宋_GB2312" w:cs="仿宋_GB2312"/>
                <w:lang w:eastAsia="zh-CN"/>
              </w:rPr>
              <w:t>不</w:t>
            </w:r>
            <w:r>
              <w:rPr>
                <w:rFonts w:hint="eastAsia" w:ascii="仿宋_GB2312" w:hAnsi="仿宋_GB2312" w:eastAsia="仿宋_GB2312" w:cs="仿宋_GB2312"/>
              </w:rPr>
              <w:t>遵守</w:t>
            </w:r>
            <w:r>
              <w:rPr>
                <w:rFonts w:hint="eastAsia" w:ascii="仿宋_GB2312" w:hAnsi="仿宋_GB2312" w:eastAsia="仿宋_GB2312" w:cs="仿宋_GB2312"/>
                <w:lang w:eastAsia="zh-CN"/>
              </w:rPr>
              <w:t>合同约定违规作业</w:t>
            </w:r>
            <w:r>
              <w:rPr>
                <w:rFonts w:hint="eastAsia" w:ascii="仿宋_GB2312" w:hAnsi="仿宋_GB2312" w:eastAsia="仿宋_GB2312" w:cs="仿宋_GB2312"/>
              </w:rPr>
              <w:t>，每次不符扣</w:t>
            </w:r>
            <w:r>
              <w:rPr>
                <w:rFonts w:hint="eastAsia" w:ascii="仿宋_GB2312" w:hAnsi="仿宋_GB2312" w:eastAsia="仿宋_GB2312" w:cs="仿宋_GB2312"/>
                <w:lang w:val="en-US" w:eastAsia="zh-CN"/>
              </w:rPr>
              <w:t>3</w:t>
            </w:r>
            <w:r>
              <w:rPr>
                <w:rFonts w:hint="eastAsia" w:ascii="仿宋_GB2312" w:hAnsi="仿宋_GB2312" w:eastAsia="仿宋_GB2312" w:cs="仿宋_GB2312"/>
              </w:rPr>
              <w:t>分；</w:t>
            </w:r>
          </w:p>
        </w:tc>
        <w:tc>
          <w:tcPr>
            <w:tcW w:w="607" w:type="dxa"/>
            <w:noWrap w:val="0"/>
            <w:vAlign w:val="center"/>
          </w:tcPr>
          <w:p w14:paraId="4683C149">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34EB6CD8">
            <w:pPr>
              <w:pStyle w:val="5"/>
              <w:rPr>
                <w:rFonts w:hint="eastAsia" w:ascii="仿宋_GB2312" w:hAnsi="仿宋_GB2312" w:eastAsia="仿宋_GB2312" w:cs="仿宋_GB2312"/>
              </w:rPr>
            </w:pPr>
          </w:p>
        </w:tc>
      </w:tr>
      <w:tr w14:paraId="529BF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098025A7">
            <w:pPr>
              <w:pStyle w:val="5"/>
              <w:rPr>
                <w:rFonts w:hint="eastAsia" w:ascii="仿宋_GB2312" w:hAnsi="仿宋_GB2312" w:eastAsia="仿宋_GB2312" w:cs="仿宋_GB2312"/>
              </w:rPr>
            </w:pPr>
          </w:p>
        </w:tc>
        <w:tc>
          <w:tcPr>
            <w:tcW w:w="6613" w:type="dxa"/>
            <w:gridSpan w:val="3"/>
            <w:noWrap w:val="0"/>
            <w:vAlign w:val="center"/>
          </w:tcPr>
          <w:p w14:paraId="318704BD">
            <w:pPr>
              <w:pStyle w:val="5"/>
              <w:rPr>
                <w:rFonts w:hint="eastAsia" w:ascii="仿宋_GB2312" w:hAnsi="仿宋_GB2312" w:eastAsia="仿宋_GB2312" w:cs="仿宋_GB2312"/>
              </w:rPr>
            </w:pPr>
            <w:r>
              <w:rPr>
                <w:rFonts w:hint="eastAsia" w:ascii="仿宋_GB2312" w:hAnsi="仿宋_GB2312" w:eastAsia="仿宋_GB2312" w:cs="仿宋_GB2312"/>
              </w:rPr>
              <w:t>4、上班时间不得睡觉或干与工作无关的事，每次不符扣1分；</w:t>
            </w:r>
          </w:p>
        </w:tc>
        <w:tc>
          <w:tcPr>
            <w:tcW w:w="607" w:type="dxa"/>
            <w:noWrap w:val="0"/>
            <w:vAlign w:val="center"/>
          </w:tcPr>
          <w:p w14:paraId="61D8375B">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746FDF91">
            <w:pPr>
              <w:pStyle w:val="5"/>
              <w:rPr>
                <w:rFonts w:hint="eastAsia" w:ascii="仿宋_GB2312" w:hAnsi="仿宋_GB2312" w:eastAsia="仿宋_GB2312" w:cs="仿宋_GB2312"/>
              </w:rPr>
            </w:pPr>
          </w:p>
        </w:tc>
      </w:tr>
      <w:tr w14:paraId="1BCED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6B36409B">
            <w:pPr>
              <w:pStyle w:val="5"/>
              <w:rPr>
                <w:rFonts w:hint="eastAsia" w:ascii="仿宋_GB2312" w:hAnsi="仿宋_GB2312" w:eastAsia="仿宋_GB2312" w:cs="仿宋_GB2312"/>
              </w:rPr>
            </w:pPr>
          </w:p>
        </w:tc>
        <w:tc>
          <w:tcPr>
            <w:tcW w:w="6613" w:type="dxa"/>
            <w:gridSpan w:val="3"/>
            <w:noWrap w:val="0"/>
            <w:vAlign w:val="center"/>
          </w:tcPr>
          <w:p w14:paraId="6E3DC628">
            <w:pPr>
              <w:pStyle w:val="5"/>
              <w:rPr>
                <w:rFonts w:hint="eastAsia" w:ascii="仿宋_GB2312" w:hAnsi="仿宋_GB2312" w:eastAsia="仿宋_GB2312" w:cs="仿宋_GB2312"/>
              </w:rPr>
            </w:pPr>
            <w:r>
              <w:rPr>
                <w:rFonts w:hint="eastAsia" w:ascii="仿宋_GB2312" w:hAnsi="仿宋_GB2312" w:eastAsia="仿宋_GB2312" w:cs="仿宋_GB2312"/>
              </w:rPr>
              <w:t>5、当班不得喝酒及酒后上岗，每次不符扣2分，并辞退该员工；</w:t>
            </w:r>
          </w:p>
        </w:tc>
        <w:tc>
          <w:tcPr>
            <w:tcW w:w="607" w:type="dxa"/>
            <w:noWrap w:val="0"/>
            <w:vAlign w:val="center"/>
          </w:tcPr>
          <w:p w14:paraId="1046E84C">
            <w:pPr>
              <w:pStyle w:val="5"/>
              <w:rPr>
                <w:rFonts w:hint="eastAsia" w:ascii="仿宋_GB2312" w:hAnsi="仿宋_GB2312" w:eastAsia="仿宋_GB2312" w:cs="仿宋_GB2312"/>
              </w:rPr>
            </w:pPr>
          </w:p>
        </w:tc>
        <w:tc>
          <w:tcPr>
            <w:tcW w:w="820" w:type="dxa"/>
            <w:noWrap w:val="0"/>
            <w:vAlign w:val="center"/>
          </w:tcPr>
          <w:p w14:paraId="3EFD79D7">
            <w:pPr>
              <w:pStyle w:val="5"/>
              <w:rPr>
                <w:rFonts w:hint="eastAsia" w:ascii="仿宋_GB2312" w:hAnsi="仿宋_GB2312" w:eastAsia="仿宋_GB2312" w:cs="仿宋_GB2312"/>
              </w:rPr>
            </w:pPr>
          </w:p>
        </w:tc>
      </w:tr>
      <w:tr w14:paraId="5297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56EC1D10">
            <w:pPr>
              <w:pStyle w:val="5"/>
              <w:rPr>
                <w:rFonts w:hint="eastAsia" w:ascii="仿宋_GB2312" w:hAnsi="仿宋_GB2312" w:eastAsia="仿宋_GB2312" w:cs="仿宋_GB2312"/>
              </w:rPr>
            </w:pPr>
          </w:p>
        </w:tc>
        <w:tc>
          <w:tcPr>
            <w:tcW w:w="6613" w:type="dxa"/>
            <w:gridSpan w:val="3"/>
            <w:noWrap w:val="0"/>
            <w:vAlign w:val="center"/>
          </w:tcPr>
          <w:p w14:paraId="1A08F60C">
            <w:pPr>
              <w:pStyle w:val="5"/>
              <w:rPr>
                <w:rFonts w:hint="eastAsia" w:ascii="仿宋_GB2312" w:hAnsi="仿宋_GB2312" w:eastAsia="仿宋_GB2312" w:cs="仿宋_GB2312"/>
              </w:rPr>
            </w:pPr>
            <w:r>
              <w:rPr>
                <w:rFonts w:hint="eastAsia" w:ascii="仿宋_GB2312" w:hAnsi="仿宋_GB2312" w:eastAsia="仿宋_GB2312" w:cs="仿宋_GB2312"/>
              </w:rPr>
              <w:t>6、用户对运维人员服务态度，质量评价不满意，投诉经核实一次扣2分；</w:t>
            </w:r>
          </w:p>
        </w:tc>
        <w:tc>
          <w:tcPr>
            <w:tcW w:w="607" w:type="dxa"/>
            <w:noWrap w:val="0"/>
            <w:vAlign w:val="center"/>
          </w:tcPr>
          <w:p w14:paraId="7CF07DCF">
            <w:pPr>
              <w:pStyle w:val="5"/>
              <w:rPr>
                <w:rFonts w:hint="eastAsia" w:ascii="仿宋_GB2312" w:hAnsi="仿宋_GB2312" w:eastAsia="仿宋_GB2312" w:cs="仿宋_GB2312"/>
              </w:rPr>
            </w:pPr>
          </w:p>
        </w:tc>
        <w:tc>
          <w:tcPr>
            <w:tcW w:w="820" w:type="dxa"/>
            <w:noWrap w:val="0"/>
            <w:vAlign w:val="center"/>
          </w:tcPr>
          <w:p w14:paraId="126E8D8A">
            <w:pPr>
              <w:pStyle w:val="5"/>
              <w:rPr>
                <w:rFonts w:hint="eastAsia" w:ascii="仿宋_GB2312" w:hAnsi="仿宋_GB2312" w:eastAsia="仿宋_GB2312" w:cs="仿宋_GB2312"/>
              </w:rPr>
            </w:pPr>
          </w:p>
        </w:tc>
      </w:tr>
      <w:tr w14:paraId="2BD6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3348D82C">
            <w:pPr>
              <w:pStyle w:val="5"/>
              <w:rPr>
                <w:rFonts w:hint="eastAsia" w:ascii="仿宋_GB2312" w:hAnsi="仿宋_GB2312" w:eastAsia="仿宋_GB2312" w:cs="仿宋_GB2312"/>
              </w:rPr>
            </w:pPr>
          </w:p>
        </w:tc>
        <w:tc>
          <w:tcPr>
            <w:tcW w:w="6613" w:type="dxa"/>
            <w:gridSpan w:val="3"/>
            <w:noWrap w:val="0"/>
            <w:vAlign w:val="center"/>
          </w:tcPr>
          <w:p w14:paraId="0BDD2257">
            <w:pPr>
              <w:pStyle w:val="5"/>
              <w:rPr>
                <w:rFonts w:hint="eastAsia" w:ascii="仿宋_GB2312" w:hAnsi="仿宋_GB2312" w:eastAsia="仿宋_GB2312" w:cs="仿宋_GB2312"/>
              </w:rPr>
            </w:pPr>
            <w:r>
              <w:rPr>
                <w:rFonts w:hint="eastAsia" w:ascii="仿宋_GB2312" w:hAnsi="仿宋_GB2312" w:eastAsia="仿宋_GB2312" w:cs="仿宋_GB2312"/>
              </w:rPr>
              <w:t>7、安排的工作，应</w:t>
            </w:r>
            <w:r>
              <w:rPr>
                <w:rFonts w:hint="eastAsia" w:ascii="仿宋_GB2312" w:hAnsi="仿宋_GB2312" w:eastAsia="仿宋_GB2312" w:cs="仿宋_GB2312"/>
                <w:lang w:eastAsia="zh-CN"/>
              </w:rPr>
              <w:t>迅速响应，</w:t>
            </w:r>
            <w:r>
              <w:rPr>
                <w:rFonts w:hint="eastAsia" w:ascii="仿宋_GB2312" w:hAnsi="仿宋_GB2312" w:eastAsia="仿宋_GB2312" w:cs="仿宋_GB2312"/>
              </w:rPr>
              <w:t>服从工作分配、调动和指挥，每次不符扣1分;</w:t>
            </w:r>
          </w:p>
        </w:tc>
        <w:tc>
          <w:tcPr>
            <w:tcW w:w="607" w:type="dxa"/>
            <w:noWrap w:val="0"/>
            <w:vAlign w:val="center"/>
          </w:tcPr>
          <w:p w14:paraId="2A2FCA4E">
            <w:pPr>
              <w:pStyle w:val="5"/>
              <w:rPr>
                <w:rFonts w:hint="eastAsia" w:ascii="仿宋_GB2312" w:hAnsi="仿宋_GB2312" w:eastAsia="仿宋_GB2312" w:cs="仿宋_GB2312"/>
              </w:rPr>
            </w:pPr>
          </w:p>
        </w:tc>
        <w:tc>
          <w:tcPr>
            <w:tcW w:w="820" w:type="dxa"/>
            <w:noWrap w:val="0"/>
            <w:vAlign w:val="center"/>
          </w:tcPr>
          <w:p w14:paraId="3FB012C2">
            <w:pPr>
              <w:pStyle w:val="5"/>
              <w:rPr>
                <w:rFonts w:hint="eastAsia" w:ascii="仿宋_GB2312" w:hAnsi="仿宋_GB2312" w:eastAsia="仿宋_GB2312" w:cs="仿宋_GB2312"/>
              </w:rPr>
            </w:pPr>
          </w:p>
        </w:tc>
      </w:tr>
      <w:tr w14:paraId="0D90B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174E4922">
            <w:pPr>
              <w:pStyle w:val="5"/>
              <w:rPr>
                <w:rFonts w:hint="eastAsia" w:ascii="仿宋_GB2312" w:hAnsi="仿宋_GB2312" w:eastAsia="仿宋_GB2312" w:cs="仿宋_GB2312"/>
              </w:rPr>
            </w:pPr>
          </w:p>
        </w:tc>
        <w:tc>
          <w:tcPr>
            <w:tcW w:w="6613" w:type="dxa"/>
            <w:gridSpan w:val="3"/>
            <w:noWrap w:val="0"/>
            <w:vAlign w:val="center"/>
          </w:tcPr>
          <w:p w14:paraId="43651326">
            <w:pPr>
              <w:pStyle w:val="5"/>
              <w:rPr>
                <w:rFonts w:hint="eastAsia" w:ascii="仿宋_GB2312" w:hAnsi="仿宋_GB2312" w:eastAsia="仿宋_GB2312" w:cs="仿宋_GB2312"/>
              </w:rPr>
            </w:pPr>
            <w:r>
              <w:rPr>
                <w:rFonts w:hint="eastAsia" w:ascii="仿宋_GB2312" w:hAnsi="仿宋_GB2312" w:eastAsia="仿宋_GB2312" w:cs="仿宋_GB2312"/>
              </w:rPr>
              <w:t>8、遵守院劳动纪律，每次不符扣1分；</w:t>
            </w:r>
          </w:p>
        </w:tc>
        <w:tc>
          <w:tcPr>
            <w:tcW w:w="607" w:type="dxa"/>
            <w:noWrap w:val="0"/>
            <w:vAlign w:val="center"/>
          </w:tcPr>
          <w:p w14:paraId="471517AA">
            <w:pPr>
              <w:pStyle w:val="5"/>
              <w:rPr>
                <w:rFonts w:hint="eastAsia" w:ascii="仿宋_GB2312" w:hAnsi="仿宋_GB2312" w:eastAsia="仿宋_GB2312" w:cs="仿宋_GB2312"/>
              </w:rPr>
            </w:pPr>
          </w:p>
        </w:tc>
        <w:tc>
          <w:tcPr>
            <w:tcW w:w="820" w:type="dxa"/>
            <w:noWrap w:val="0"/>
            <w:vAlign w:val="center"/>
          </w:tcPr>
          <w:p w14:paraId="64F4DA10">
            <w:pPr>
              <w:pStyle w:val="5"/>
              <w:rPr>
                <w:rFonts w:hint="eastAsia" w:ascii="仿宋_GB2312" w:hAnsi="仿宋_GB2312" w:eastAsia="仿宋_GB2312" w:cs="仿宋_GB2312"/>
              </w:rPr>
            </w:pPr>
          </w:p>
        </w:tc>
      </w:tr>
      <w:tr w14:paraId="0353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restart"/>
            <w:noWrap w:val="0"/>
            <w:vAlign w:val="center"/>
          </w:tcPr>
          <w:p w14:paraId="4133D013">
            <w:pPr>
              <w:pStyle w:val="5"/>
              <w:rPr>
                <w:rFonts w:hint="eastAsia" w:ascii="仿宋_GB2312" w:hAnsi="仿宋_GB2312" w:eastAsia="仿宋_GB2312" w:cs="仿宋_GB2312"/>
              </w:rPr>
            </w:pPr>
            <w:r>
              <w:rPr>
                <w:rFonts w:hint="eastAsia" w:ascii="仿宋_GB2312" w:hAnsi="仿宋_GB2312" w:eastAsia="仿宋_GB2312" w:cs="仿宋_GB2312"/>
              </w:rPr>
              <w:t>运维</w:t>
            </w:r>
          </w:p>
          <w:p w14:paraId="5A9C43EC">
            <w:pPr>
              <w:pStyle w:val="5"/>
              <w:rPr>
                <w:rFonts w:hint="eastAsia" w:ascii="仿宋_GB2312" w:hAnsi="仿宋_GB2312" w:eastAsia="仿宋_GB2312" w:cs="仿宋_GB2312"/>
              </w:rPr>
            </w:pPr>
            <w:r>
              <w:rPr>
                <w:rFonts w:hint="eastAsia" w:ascii="仿宋_GB2312" w:hAnsi="仿宋_GB2312" w:eastAsia="仿宋_GB2312" w:cs="仿宋_GB2312"/>
              </w:rPr>
              <w:t>工作</w:t>
            </w:r>
          </w:p>
          <w:p w14:paraId="04371C93">
            <w:pPr>
              <w:pStyle w:val="5"/>
              <w:rPr>
                <w:rFonts w:hint="eastAsia" w:ascii="仿宋_GB2312" w:hAnsi="仿宋_GB2312" w:eastAsia="仿宋_GB2312" w:cs="仿宋_GB2312"/>
              </w:rPr>
            </w:pPr>
            <w:r>
              <w:rPr>
                <w:rFonts w:hint="eastAsia" w:ascii="仿宋_GB2312" w:hAnsi="仿宋_GB2312" w:eastAsia="仿宋_GB2312" w:cs="仿宋_GB2312"/>
              </w:rPr>
              <w:t>质量</w:t>
            </w:r>
          </w:p>
          <w:p w14:paraId="11D1D598">
            <w:pPr>
              <w:pStyle w:val="5"/>
              <w:rPr>
                <w:rFonts w:hint="eastAsia" w:ascii="仿宋_GB2312" w:hAnsi="仿宋_GB2312" w:eastAsia="仿宋_GB2312" w:cs="仿宋_GB2312"/>
              </w:rPr>
            </w:pPr>
            <w:r>
              <w:rPr>
                <w:rFonts w:hint="eastAsia" w:ascii="仿宋_GB2312" w:hAnsi="仿宋_GB2312" w:eastAsia="仿宋_GB2312" w:cs="仿宋_GB2312"/>
              </w:rPr>
              <w:t>标准</w:t>
            </w:r>
          </w:p>
        </w:tc>
        <w:tc>
          <w:tcPr>
            <w:tcW w:w="6613" w:type="dxa"/>
            <w:gridSpan w:val="3"/>
            <w:noWrap w:val="0"/>
            <w:vAlign w:val="center"/>
          </w:tcPr>
          <w:p w14:paraId="3BC70277">
            <w:pPr>
              <w:pStyle w:val="5"/>
              <w:rPr>
                <w:rFonts w:hint="eastAsia" w:ascii="仿宋_GB2312" w:hAnsi="仿宋_GB2312" w:eastAsia="仿宋_GB2312" w:cs="仿宋_GB2312"/>
              </w:rPr>
            </w:pPr>
            <w:r>
              <w:rPr>
                <w:rFonts w:hint="eastAsia" w:ascii="仿宋_GB2312" w:hAnsi="仿宋_GB2312" w:eastAsia="仿宋_GB2312" w:cs="仿宋_GB2312"/>
              </w:rPr>
              <w:t>1、运维人员主动向水电班指定的管理人员反馈维护</w:t>
            </w:r>
            <w:r>
              <w:rPr>
                <w:rFonts w:hint="eastAsia" w:ascii="仿宋_GB2312" w:hAnsi="仿宋_GB2312" w:eastAsia="仿宋_GB2312" w:cs="仿宋_GB2312"/>
                <w:lang w:eastAsia="zh-CN"/>
              </w:rPr>
              <w:t>、维修</w:t>
            </w:r>
            <w:r>
              <w:rPr>
                <w:rFonts w:hint="eastAsia" w:ascii="仿宋_GB2312" w:hAnsi="仿宋_GB2312" w:eastAsia="仿宋_GB2312" w:cs="仿宋_GB2312"/>
              </w:rPr>
              <w:t>情况，</w:t>
            </w:r>
            <w:r>
              <w:rPr>
                <w:rFonts w:hint="eastAsia" w:ascii="仿宋_GB2312" w:hAnsi="仿宋_GB2312" w:eastAsia="仿宋_GB2312" w:cs="仿宋_GB2312"/>
                <w:lang w:eastAsia="zh-CN"/>
              </w:rPr>
              <w:t>维护、维修不及时的</w:t>
            </w:r>
            <w:r>
              <w:rPr>
                <w:rFonts w:hint="eastAsia" w:ascii="仿宋_GB2312" w:hAnsi="仿宋_GB2312" w:eastAsia="仿宋_GB2312" w:cs="仿宋_GB2312"/>
              </w:rPr>
              <w:t>每次扣1分；</w:t>
            </w:r>
          </w:p>
        </w:tc>
        <w:tc>
          <w:tcPr>
            <w:tcW w:w="607" w:type="dxa"/>
            <w:noWrap w:val="0"/>
            <w:vAlign w:val="center"/>
          </w:tcPr>
          <w:p w14:paraId="77FFDF9F">
            <w:pPr>
              <w:pStyle w:val="5"/>
              <w:rPr>
                <w:rFonts w:hint="eastAsia" w:ascii="仿宋_GB2312" w:hAnsi="仿宋_GB2312" w:eastAsia="仿宋_GB2312" w:cs="仿宋_GB2312"/>
              </w:rPr>
            </w:pPr>
          </w:p>
        </w:tc>
        <w:tc>
          <w:tcPr>
            <w:tcW w:w="820" w:type="dxa"/>
            <w:noWrap w:val="0"/>
            <w:vAlign w:val="center"/>
          </w:tcPr>
          <w:p w14:paraId="166BCD5E">
            <w:pPr>
              <w:pStyle w:val="5"/>
              <w:rPr>
                <w:rFonts w:hint="eastAsia" w:ascii="仿宋_GB2312" w:hAnsi="仿宋_GB2312" w:eastAsia="仿宋_GB2312" w:cs="仿宋_GB2312"/>
              </w:rPr>
            </w:pPr>
          </w:p>
        </w:tc>
      </w:tr>
      <w:tr w14:paraId="066F7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7485A512">
            <w:pPr>
              <w:pStyle w:val="5"/>
              <w:rPr>
                <w:rFonts w:hint="eastAsia" w:ascii="仿宋_GB2312" w:hAnsi="仿宋_GB2312" w:eastAsia="仿宋_GB2312" w:cs="仿宋_GB2312"/>
              </w:rPr>
            </w:pPr>
          </w:p>
        </w:tc>
        <w:tc>
          <w:tcPr>
            <w:tcW w:w="6613" w:type="dxa"/>
            <w:gridSpan w:val="3"/>
            <w:noWrap w:val="0"/>
            <w:vAlign w:val="center"/>
          </w:tcPr>
          <w:p w14:paraId="08DFFE19">
            <w:pPr>
              <w:pStyle w:val="5"/>
              <w:rPr>
                <w:rFonts w:hint="eastAsia" w:ascii="仿宋_GB2312" w:hAnsi="仿宋_GB2312" w:eastAsia="仿宋_GB2312" w:cs="仿宋_GB2312"/>
              </w:rPr>
            </w:pPr>
            <w:r>
              <w:rPr>
                <w:rFonts w:hint="eastAsia" w:ascii="仿宋_GB2312" w:hAnsi="仿宋_GB2312" w:eastAsia="仿宋_GB2312" w:cs="仿宋_GB2312"/>
              </w:rPr>
              <w:t>2、维护运行台账建立，资料齐全，</w:t>
            </w:r>
            <w:r>
              <w:rPr>
                <w:rFonts w:hint="eastAsia" w:ascii="仿宋_GB2312" w:hAnsi="仿宋_GB2312" w:eastAsia="仿宋_GB2312" w:cs="仿宋_GB2312"/>
                <w:lang w:eastAsia="zh-CN"/>
              </w:rPr>
              <w:t>采购方</w:t>
            </w:r>
            <w:r>
              <w:rPr>
                <w:rFonts w:hint="eastAsia" w:ascii="仿宋_GB2312" w:hAnsi="仿宋_GB2312" w:eastAsia="仿宋_GB2312" w:cs="仿宋_GB2312"/>
              </w:rPr>
              <w:t>每月检查或不定期抽查每次不符扣1分，</w:t>
            </w:r>
            <w:r>
              <w:rPr>
                <w:rFonts w:hint="eastAsia" w:ascii="仿宋_GB2312" w:hAnsi="仿宋_GB2312" w:eastAsia="仿宋_GB2312" w:cs="仿宋_GB2312"/>
                <w:lang w:eastAsia="zh-CN"/>
              </w:rPr>
              <w:t>采购方</w:t>
            </w:r>
            <w:r>
              <w:rPr>
                <w:rFonts w:hint="eastAsia" w:ascii="仿宋_GB2312" w:hAnsi="仿宋_GB2312" w:eastAsia="仿宋_GB2312" w:cs="仿宋_GB2312"/>
              </w:rPr>
              <w:t>反馈的问题没有及时整改到位的扣2分；</w:t>
            </w:r>
          </w:p>
        </w:tc>
        <w:tc>
          <w:tcPr>
            <w:tcW w:w="607" w:type="dxa"/>
            <w:noWrap w:val="0"/>
            <w:vAlign w:val="center"/>
          </w:tcPr>
          <w:p w14:paraId="6DE9955A">
            <w:pPr>
              <w:pStyle w:val="5"/>
              <w:rPr>
                <w:rFonts w:hint="eastAsia" w:ascii="仿宋_GB2312" w:hAnsi="仿宋_GB2312" w:eastAsia="仿宋_GB2312" w:cs="仿宋_GB2312"/>
              </w:rPr>
            </w:pPr>
          </w:p>
        </w:tc>
        <w:tc>
          <w:tcPr>
            <w:tcW w:w="820" w:type="dxa"/>
            <w:noWrap w:val="0"/>
            <w:vAlign w:val="center"/>
          </w:tcPr>
          <w:p w14:paraId="2CEC0D03">
            <w:pPr>
              <w:pStyle w:val="5"/>
              <w:rPr>
                <w:rFonts w:hint="eastAsia" w:ascii="仿宋_GB2312" w:hAnsi="仿宋_GB2312" w:eastAsia="仿宋_GB2312" w:cs="仿宋_GB2312"/>
              </w:rPr>
            </w:pPr>
          </w:p>
        </w:tc>
      </w:tr>
      <w:tr w14:paraId="73E3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99" w:type="dxa"/>
            <w:vMerge w:val="continue"/>
            <w:noWrap w:val="0"/>
            <w:vAlign w:val="center"/>
          </w:tcPr>
          <w:p w14:paraId="25E54078">
            <w:pPr>
              <w:pStyle w:val="5"/>
              <w:rPr>
                <w:rFonts w:hint="eastAsia" w:ascii="仿宋_GB2312" w:hAnsi="仿宋_GB2312" w:eastAsia="仿宋_GB2312" w:cs="仿宋_GB2312"/>
              </w:rPr>
            </w:pPr>
          </w:p>
        </w:tc>
        <w:tc>
          <w:tcPr>
            <w:tcW w:w="6613" w:type="dxa"/>
            <w:gridSpan w:val="3"/>
            <w:noWrap w:val="0"/>
            <w:vAlign w:val="center"/>
          </w:tcPr>
          <w:p w14:paraId="3B4C52C5">
            <w:pPr>
              <w:pStyle w:val="5"/>
              <w:rPr>
                <w:rFonts w:hint="eastAsia" w:ascii="仿宋_GB2312" w:hAnsi="仿宋_GB2312" w:eastAsia="仿宋_GB2312" w:cs="仿宋_GB2312"/>
              </w:rPr>
            </w:pPr>
            <w:r>
              <w:rPr>
                <w:rFonts w:hint="eastAsia" w:ascii="仿宋_GB2312" w:hAnsi="仿宋_GB2312" w:eastAsia="仿宋_GB2312" w:cs="仿宋_GB2312"/>
              </w:rPr>
              <w:t>3、运维人员根据维护合同及维护计划约定的频次、内容、要求进行巡查、维护保养、值班巡视等维护工作，每缺1次记录扣</w:t>
            </w:r>
            <w:r>
              <w:rPr>
                <w:rFonts w:hint="eastAsia" w:ascii="仿宋_GB2312" w:hAnsi="仿宋_GB2312" w:eastAsia="仿宋_GB2312" w:cs="仿宋_GB2312"/>
                <w:lang w:val="en-US" w:eastAsia="zh-CN"/>
              </w:rPr>
              <w:t>3</w:t>
            </w:r>
            <w:r>
              <w:rPr>
                <w:rFonts w:hint="eastAsia" w:ascii="仿宋_GB2312" w:hAnsi="仿宋_GB2312" w:eastAsia="仿宋_GB2312" w:cs="仿宋_GB2312"/>
              </w:rPr>
              <w:t>分；</w:t>
            </w:r>
          </w:p>
        </w:tc>
        <w:tc>
          <w:tcPr>
            <w:tcW w:w="607" w:type="dxa"/>
            <w:noWrap w:val="0"/>
            <w:vAlign w:val="center"/>
          </w:tcPr>
          <w:p w14:paraId="4570A221">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1337207D">
            <w:pPr>
              <w:pStyle w:val="5"/>
              <w:rPr>
                <w:rFonts w:hint="eastAsia" w:ascii="仿宋_GB2312" w:hAnsi="仿宋_GB2312" w:eastAsia="仿宋_GB2312" w:cs="仿宋_GB2312"/>
              </w:rPr>
            </w:pPr>
          </w:p>
        </w:tc>
      </w:tr>
      <w:tr w14:paraId="6915A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top"/>
          </w:tcPr>
          <w:p w14:paraId="068DCAD5">
            <w:pPr>
              <w:pStyle w:val="5"/>
              <w:rPr>
                <w:rFonts w:hint="eastAsia" w:ascii="仿宋_GB2312" w:hAnsi="仿宋_GB2312" w:eastAsia="仿宋_GB2312" w:cs="仿宋_GB2312"/>
              </w:rPr>
            </w:pPr>
          </w:p>
        </w:tc>
        <w:tc>
          <w:tcPr>
            <w:tcW w:w="6613" w:type="dxa"/>
            <w:gridSpan w:val="3"/>
            <w:noWrap w:val="0"/>
            <w:vAlign w:val="center"/>
          </w:tcPr>
          <w:p w14:paraId="31290A38">
            <w:pPr>
              <w:pStyle w:val="5"/>
              <w:rPr>
                <w:rFonts w:hint="eastAsia" w:ascii="仿宋_GB2312" w:hAnsi="仿宋_GB2312" w:eastAsia="仿宋_GB2312" w:cs="仿宋_GB2312"/>
              </w:rPr>
            </w:pPr>
            <w:r>
              <w:rPr>
                <w:rFonts w:hint="eastAsia" w:ascii="仿宋_GB2312" w:hAnsi="仿宋_GB2312" w:eastAsia="仿宋_GB2312" w:cs="仿宋_GB2312"/>
              </w:rPr>
              <w:t xml:space="preserve">4、每班必须严格执行值班、交接班制度，各种台帐记录记不清、不齐、影响正常工作，每次不符扣1分; </w:t>
            </w:r>
          </w:p>
        </w:tc>
        <w:tc>
          <w:tcPr>
            <w:tcW w:w="607" w:type="dxa"/>
            <w:noWrap w:val="0"/>
            <w:vAlign w:val="center"/>
          </w:tcPr>
          <w:p w14:paraId="403010B2">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36EEB506">
            <w:pPr>
              <w:pStyle w:val="5"/>
              <w:rPr>
                <w:rFonts w:hint="eastAsia" w:ascii="仿宋_GB2312" w:hAnsi="仿宋_GB2312" w:eastAsia="仿宋_GB2312" w:cs="仿宋_GB2312"/>
              </w:rPr>
            </w:pPr>
          </w:p>
        </w:tc>
      </w:tr>
      <w:tr w14:paraId="259F3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top"/>
          </w:tcPr>
          <w:p w14:paraId="01ADD0A2">
            <w:pPr>
              <w:pStyle w:val="5"/>
              <w:rPr>
                <w:rFonts w:hint="eastAsia" w:ascii="仿宋_GB2312" w:hAnsi="仿宋_GB2312" w:eastAsia="仿宋_GB2312" w:cs="仿宋_GB2312"/>
              </w:rPr>
            </w:pPr>
          </w:p>
        </w:tc>
        <w:tc>
          <w:tcPr>
            <w:tcW w:w="6613" w:type="dxa"/>
            <w:gridSpan w:val="3"/>
            <w:noWrap w:val="0"/>
            <w:vAlign w:val="center"/>
          </w:tcPr>
          <w:p w14:paraId="0AA15B70">
            <w:pPr>
              <w:pStyle w:val="5"/>
              <w:rPr>
                <w:rFonts w:hint="eastAsia" w:ascii="仿宋_GB2312" w:hAnsi="仿宋_GB2312" w:eastAsia="仿宋_GB2312" w:cs="仿宋_GB2312"/>
              </w:rPr>
            </w:pPr>
            <w:r>
              <w:rPr>
                <w:rFonts w:hint="eastAsia" w:ascii="仿宋_GB2312" w:hAnsi="仿宋_GB2312" w:eastAsia="仿宋_GB2312" w:cs="仿宋_GB2312"/>
              </w:rPr>
              <w:t>5、维护单位设24小时紧急救援服务热线电话。电话无人接听1次扣1分;</w:t>
            </w:r>
          </w:p>
        </w:tc>
        <w:tc>
          <w:tcPr>
            <w:tcW w:w="607" w:type="dxa"/>
            <w:noWrap w:val="0"/>
            <w:vAlign w:val="center"/>
          </w:tcPr>
          <w:p w14:paraId="11319C7B">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59D94F7C">
            <w:pPr>
              <w:pStyle w:val="5"/>
              <w:rPr>
                <w:rFonts w:hint="eastAsia" w:ascii="仿宋_GB2312" w:hAnsi="仿宋_GB2312" w:eastAsia="仿宋_GB2312" w:cs="仿宋_GB2312"/>
              </w:rPr>
            </w:pPr>
          </w:p>
        </w:tc>
      </w:tr>
      <w:tr w14:paraId="72120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atLeast"/>
        </w:trPr>
        <w:tc>
          <w:tcPr>
            <w:tcW w:w="899" w:type="dxa"/>
            <w:vMerge w:val="continue"/>
            <w:noWrap w:val="0"/>
            <w:vAlign w:val="top"/>
          </w:tcPr>
          <w:p w14:paraId="0711F584">
            <w:pPr>
              <w:pStyle w:val="5"/>
              <w:rPr>
                <w:rFonts w:hint="eastAsia" w:ascii="仿宋_GB2312" w:hAnsi="仿宋_GB2312" w:eastAsia="仿宋_GB2312" w:cs="仿宋_GB2312"/>
              </w:rPr>
            </w:pPr>
          </w:p>
        </w:tc>
        <w:tc>
          <w:tcPr>
            <w:tcW w:w="6613" w:type="dxa"/>
            <w:gridSpan w:val="3"/>
            <w:noWrap w:val="0"/>
            <w:vAlign w:val="center"/>
          </w:tcPr>
          <w:p w14:paraId="23C5FE20">
            <w:pPr>
              <w:pStyle w:val="5"/>
              <w:rPr>
                <w:rFonts w:hint="eastAsia" w:ascii="仿宋_GB2312" w:hAnsi="仿宋_GB2312" w:eastAsia="仿宋_GB2312" w:cs="仿宋_GB2312"/>
              </w:rPr>
            </w:pPr>
            <w:r>
              <w:rPr>
                <w:rFonts w:hint="eastAsia" w:ascii="仿宋_GB2312" w:hAnsi="仿宋_GB2312" w:eastAsia="仿宋_GB2312" w:cs="仿宋_GB2312"/>
              </w:rPr>
              <w:t>6、急修、抢修应立即赶赴现场，不超过30分钟，未按规定时间到达现场每次扣2分;</w:t>
            </w:r>
          </w:p>
        </w:tc>
        <w:tc>
          <w:tcPr>
            <w:tcW w:w="607" w:type="dxa"/>
            <w:noWrap w:val="0"/>
            <w:vAlign w:val="center"/>
          </w:tcPr>
          <w:p w14:paraId="18704E5A">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17654CD5">
            <w:pPr>
              <w:pStyle w:val="5"/>
              <w:rPr>
                <w:rFonts w:hint="eastAsia" w:ascii="仿宋_GB2312" w:hAnsi="仿宋_GB2312" w:eastAsia="仿宋_GB2312" w:cs="仿宋_GB2312"/>
              </w:rPr>
            </w:pPr>
          </w:p>
        </w:tc>
      </w:tr>
      <w:tr w14:paraId="5E4E1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trPr>
        <w:tc>
          <w:tcPr>
            <w:tcW w:w="899" w:type="dxa"/>
            <w:vMerge w:val="continue"/>
            <w:noWrap w:val="0"/>
            <w:vAlign w:val="top"/>
          </w:tcPr>
          <w:p w14:paraId="170A0261">
            <w:pPr>
              <w:pStyle w:val="5"/>
              <w:rPr>
                <w:rFonts w:hint="eastAsia" w:ascii="仿宋_GB2312" w:hAnsi="仿宋_GB2312" w:eastAsia="仿宋_GB2312" w:cs="仿宋_GB2312"/>
              </w:rPr>
            </w:pPr>
          </w:p>
        </w:tc>
        <w:tc>
          <w:tcPr>
            <w:tcW w:w="6613" w:type="dxa"/>
            <w:gridSpan w:val="3"/>
            <w:noWrap w:val="0"/>
            <w:vAlign w:val="center"/>
          </w:tcPr>
          <w:p w14:paraId="38E63F5F">
            <w:pPr>
              <w:pStyle w:val="5"/>
              <w:rPr>
                <w:rFonts w:hint="eastAsia" w:ascii="仿宋_GB2312" w:hAnsi="仿宋_GB2312" w:eastAsia="仿宋_GB2312" w:cs="仿宋_GB2312"/>
              </w:rPr>
            </w:pPr>
            <w:r>
              <w:rPr>
                <w:rFonts w:hint="eastAsia" w:ascii="仿宋_GB2312" w:hAnsi="仿宋_GB2312" w:eastAsia="仿宋_GB2312" w:cs="仿宋_GB2312"/>
              </w:rPr>
              <w:t>7、遵守安全操作规程，每次不符合扣2分;</w:t>
            </w:r>
          </w:p>
        </w:tc>
        <w:tc>
          <w:tcPr>
            <w:tcW w:w="607" w:type="dxa"/>
            <w:noWrap w:val="0"/>
            <w:vAlign w:val="center"/>
          </w:tcPr>
          <w:p w14:paraId="20B9F5DB">
            <w:pPr>
              <w:pStyle w:val="5"/>
              <w:rPr>
                <w:rFonts w:hint="eastAsia" w:ascii="仿宋_GB2312" w:hAnsi="仿宋_GB2312" w:eastAsia="仿宋_GB2312" w:cs="仿宋_GB2312"/>
              </w:rPr>
            </w:pPr>
          </w:p>
        </w:tc>
        <w:tc>
          <w:tcPr>
            <w:tcW w:w="820" w:type="dxa"/>
            <w:noWrap w:val="0"/>
            <w:vAlign w:val="center"/>
          </w:tcPr>
          <w:p w14:paraId="1B95A06B">
            <w:pPr>
              <w:pStyle w:val="5"/>
              <w:rPr>
                <w:rFonts w:hint="eastAsia" w:ascii="仿宋_GB2312" w:hAnsi="仿宋_GB2312" w:eastAsia="仿宋_GB2312" w:cs="仿宋_GB2312"/>
              </w:rPr>
            </w:pPr>
          </w:p>
        </w:tc>
      </w:tr>
      <w:tr w14:paraId="4D1A2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trPr>
        <w:tc>
          <w:tcPr>
            <w:tcW w:w="899" w:type="dxa"/>
            <w:vMerge w:val="continue"/>
            <w:noWrap w:val="0"/>
            <w:vAlign w:val="top"/>
          </w:tcPr>
          <w:p w14:paraId="1619B948">
            <w:pPr>
              <w:pStyle w:val="5"/>
              <w:rPr>
                <w:rFonts w:hint="eastAsia" w:ascii="仿宋_GB2312" w:hAnsi="仿宋_GB2312" w:eastAsia="仿宋_GB2312" w:cs="仿宋_GB2312"/>
              </w:rPr>
            </w:pPr>
          </w:p>
        </w:tc>
        <w:tc>
          <w:tcPr>
            <w:tcW w:w="6613" w:type="dxa"/>
            <w:gridSpan w:val="3"/>
            <w:noWrap w:val="0"/>
            <w:vAlign w:val="center"/>
          </w:tcPr>
          <w:p w14:paraId="5C08CCBF">
            <w:pPr>
              <w:pStyle w:val="5"/>
              <w:rPr>
                <w:rFonts w:hint="eastAsia" w:ascii="仿宋_GB2312" w:hAnsi="仿宋_GB2312" w:eastAsia="仿宋_GB2312" w:cs="仿宋_GB2312"/>
              </w:rPr>
            </w:pPr>
            <w:r>
              <w:rPr>
                <w:rFonts w:hint="eastAsia" w:ascii="仿宋_GB2312" w:hAnsi="仿宋_GB2312" w:eastAsia="仿宋_GB2312" w:cs="仿宋_GB2312"/>
              </w:rPr>
              <w:t>8、设备维护、故障处理时应在现场设置安全警示牌及安全防范措施。每次不符合扣2分;</w:t>
            </w:r>
          </w:p>
        </w:tc>
        <w:tc>
          <w:tcPr>
            <w:tcW w:w="607" w:type="dxa"/>
            <w:noWrap w:val="0"/>
            <w:vAlign w:val="center"/>
          </w:tcPr>
          <w:p w14:paraId="2DDA5AAF">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128CCF59">
            <w:pPr>
              <w:pStyle w:val="5"/>
              <w:rPr>
                <w:rFonts w:hint="eastAsia" w:ascii="仿宋_GB2312" w:hAnsi="仿宋_GB2312" w:eastAsia="仿宋_GB2312" w:cs="仿宋_GB2312"/>
              </w:rPr>
            </w:pPr>
          </w:p>
        </w:tc>
      </w:tr>
      <w:tr w14:paraId="26C4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atLeast"/>
        </w:trPr>
        <w:tc>
          <w:tcPr>
            <w:tcW w:w="899" w:type="dxa"/>
            <w:vMerge w:val="continue"/>
            <w:noWrap w:val="0"/>
            <w:vAlign w:val="top"/>
          </w:tcPr>
          <w:p w14:paraId="15432FE1">
            <w:pPr>
              <w:pStyle w:val="5"/>
              <w:rPr>
                <w:rFonts w:hint="eastAsia" w:ascii="仿宋_GB2312" w:hAnsi="仿宋_GB2312" w:eastAsia="仿宋_GB2312" w:cs="仿宋_GB2312"/>
              </w:rPr>
            </w:pPr>
          </w:p>
        </w:tc>
        <w:tc>
          <w:tcPr>
            <w:tcW w:w="6613" w:type="dxa"/>
            <w:gridSpan w:val="3"/>
            <w:noWrap w:val="0"/>
            <w:vAlign w:val="center"/>
          </w:tcPr>
          <w:p w14:paraId="280E6C87">
            <w:pPr>
              <w:pStyle w:val="5"/>
              <w:rPr>
                <w:rFonts w:hint="eastAsia" w:ascii="仿宋_GB2312" w:hAnsi="仿宋_GB2312" w:eastAsia="仿宋_GB2312" w:cs="仿宋_GB2312"/>
              </w:rPr>
            </w:pPr>
            <w:r>
              <w:rPr>
                <w:rFonts w:hint="eastAsia" w:ascii="仿宋_GB2312" w:hAnsi="仿宋_GB2312" w:eastAsia="仿宋_GB2312" w:cs="仿宋_GB2312"/>
              </w:rPr>
              <w:t>9、维护内容和要求不符合合同要求，未经</w:t>
            </w:r>
            <w:r>
              <w:rPr>
                <w:rFonts w:hint="eastAsia" w:ascii="仿宋_GB2312" w:hAnsi="仿宋_GB2312" w:eastAsia="仿宋_GB2312" w:cs="仿宋_GB2312"/>
                <w:lang w:eastAsia="zh-CN"/>
              </w:rPr>
              <w:t>采购方</w:t>
            </w:r>
            <w:r>
              <w:rPr>
                <w:rFonts w:hint="eastAsia" w:ascii="仿宋_GB2312" w:hAnsi="仿宋_GB2312" w:eastAsia="仿宋_GB2312" w:cs="仿宋_GB2312"/>
              </w:rPr>
              <w:t>重新认可，每次扣5分;</w:t>
            </w:r>
          </w:p>
        </w:tc>
        <w:tc>
          <w:tcPr>
            <w:tcW w:w="607" w:type="dxa"/>
            <w:noWrap w:val="0"/>
            <w:vAlign w:val="center"/>
          </w:tcPr>
          <w:p w14:paraId="276DB439">
            <w:pPr>
              <w:pStyle w:val="5"/>
              <w:rPr>
                <w:rFonts w:hint="eastAsia" w:ascii="仿宋_GB2312" w:hAnsi="仿宋_GB2312" w:eastAsia="仿宋_GB2312" w:cs="仿宋_GB2312"/>
              </w:rPr>
            </w:pPr>
          </w:p>
        </w:tc>
        <w:tc>
          <w:tcPr>
            <w:tcW w:w="820" w:type="dxa"/>
            <w:noWrap w:val="0"/>
            <w:vAlign w:val="center"/>
          </w:tcPr>
          <w:p w14:paraId="291F2AD9">
            <w:pPr>
              <w:pStyle w:val="5"/>
              <w:rPr>
                <w:rFonts w:hint="eastAsia" w:ascii="仿宋_GB2312" w:hAnsi="仿宋_GB2312" w:eastAsia="仿宋_GB2312" w:cs="仿宋_GB2312"/>
              </w:rPr>
            </w:pPr>
          </w:p>
        </w:tc>
      </w:tr>
      <w:tr w14:paraId="0ACB6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atLeast"/>
        </w:trPr>
        <w:tc>
          <w:tcPr>
            <w:tcW w:w="899" w:type="dxa"/>
            <w:vMerge w:val="continue"/>
            <w:noWrap w:val="0"/>
            <w:vAlign w:val="top"/>
          </w:tcPr>
          <w:p w14:paraId="0D85884F">
            <w:pPr>
              <w:pStyle w:val="5"/>
              <w:rPr>
                <w:rFonts w:hint="eastAsia" w:ascii="仿宋_GB2312" w:hAnsi="仿宋_GB2312" w:eastAsia="仿宋_GB2312" w:cs="仿宋_GB2312"/>
              </w:rPr>
            </w:pPr>
          </w:p>
        </w:tc>
        <w:tc>
          <w:tcPr>
            <w:tcW w:w="6613" w:type="dxa"/>
            <w:gridSpan w:val="3"/>
            <w:noWrap w:val="0"/>
            <w:vAlign w:val="center"/>
          </w:tcPr>
          <w:p w14:paraId="0783768E">
            <w:pPr>
              <w:pStyle w:val="5"/>
              <w:rPr>
                <w:rFonts w:hint="eastAsia" w:ascii="仿宋_GB2312" w:hAnsi="仿宋_GB2312" w:eastAsia="仿宋_GB2312" w:cs="仿宋_GB2312"/>
              </w:rPr>
            </w:pPr>
            <w:r>
              <w:rPr>
                <w:rFonts w:hint="eastAsia" w:ascii="仿宋_GB2312" w:hAnsi="仿宋_GB2312" w:eastAsia="仿宋_GB2312" w:cs="仿宋_GB2312"/>
              </w:rPr>
              <w:t>10、更换运维人员未得到</w:t>
            </w:r>
            <w:r>
              <w:rPr>
                <w:rFonts w:hint="eastAsia" w:ascii="仿宋_GB2312" w:hAnsi="仿宋_GB2312" w:eastAsia="仿宋_GB2312" w:cs="仿宋_GB2312"/>
                <w:lang w:eastAsia="zh-CN"/>
              </w:rPr>
              <w:t>采购方</w:t>
            </w:r>
            <w:r>
              <w:rPr>
                <w:rFonts w:hint="eastAsia" w:ascii="仿宋_GB2312" w:hAnsi="仿宋_GB2312" w:eastAsia="仿宋_GB2312" w:cs="仿宋_GB2312"/>
              </w:rPr>
              <w:t>确认的，每次扣5分;</w:t>
            </w:r>
          </w:p>
        </w:tc>
        <w:tc>
          <w:tcPr>
            <w:tcW w:w="607" w:type="dxa"/>
            <w:noWrap w:val="0"/>
            <w:vAlign w:val="center"/>
          </w:tcPr>
          <w:p w14:paraId="127B7E16">
            <w:pPr>
              <w:pStyle w:val="5"/>
              <w:rPr>
                <w:rFonts w:hint="eastAsia" w:ascii="仿宋_GB2312" w:hAnsi="仿宋_GB2312" w:eastAsia="仿宋_GB2312" w:cs="仿宋_GB2312"/>
              </w:rPr>
            </w:pPr>
            <w:r>
              <w:rPr>
                <w:rFonts w:hint="eastAsia" w:ascii="仿宋_GB2312" w:hAnsi="仿宋_GB2312" w:eastAsia="仿宋_GB2312" w:cs="仿宋_GB2312"/>
              </w:rPr>
              <w:t>　</w:t>
            </w:r>
          </w:p>
        </w:tc>
        <w:tc>
          <w:tcPr>
            <w:tcW w:w="820" w:type="dxa"/>
            <w:noWrap w:val="0"/>
            <w:vAlign w:val="center"/>
          </w:tcPr>
          <w:p w14:paraId="0642B1C5">
            <w:pPr>
              <w:pStyle w:val="5"/>
              <w:rPr>
                <w:rFonts w:hint="eastAsia" w:ascii="仿宋_GB2312" w:hAnsi="仿宋_GB2312" w:eastAsia="仿宋_GB2312" w:cs="仿宋_GB2312"/>
              </w:rPr>
            </w:pPr>
          </w:p>
        </w:tc>
      </w:tr>
      <w:tr w14:paraId="50902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2832" w:type="dxa"/>
            <w:gridSpan w:val="2"/>
            <w:noWrap w:val="0"/>
            <w:vAlign w:val="top"/>
          </w:tcPr>
          <w:p w14:paraId="71BA1A2B">
            <w:pPr>
              <w:pStyle w:val="5"/>
              <w:rPr>
                <w:rFonts w:hint="eastAsia" w:ascii="仿宋_GB2312" w:hAnsi="仿宋_GB2312" w:eastAsia="仿宋_GB2312" w:cs="仿宋_GB2312"/>
              </w:rPr>
            </w:pPr>
            <w:r>
              <w:rPr>
                <w:rFonts w:hint="eastAsia" w:ascii="仿宋_GB2312" w:hAnsi="仿宋_GB2312" w:eastAsia="仿宋_GB2312" w:cs="仿宋_GB2312"/>
              </w:rPr>
              <w:t>当月考核总得分：</w:t>
            </w:r>
          </w:p>
        </w:tc>
        <w:tc>
          <w:tcPr>
            <w:tcW w:w="2232" w:type="dxa"/>
            <w:noWrap w:val="0"/>
            <w:vAlign w:val="top"/>
          </w:tcPr>
          <w:p w14:paraId="41DAD2AB">
            <w:pPr>
              <w:pStyle w:val="5"/>
              <w:rPr>
                <w:rFonts w:hint="eastAsia" w:ascii="仿宋_GB2312" w:hAnsi="仿宋_GB2312" w:eastAsia="仿宋_GB2312" w:cs="仿宋_GB2312"/>
              </w:rPr>
            </w:pPr>
            <w:r>
              <w:rPr>
                <w:rFonts w:hint="eastAsia" w:ascii="仿宋_GB2312" w:hAnsi="仿宋_GB2312" w:eastAsia="仿宋_GB2312" w:cs="仿宋_GB2312"/>
              </w:rPr>
              <w:t>考核人:</w:t>
            </w:r>
          </w:p>
        </w:tc>
        <w:tc>
          <w:tcPr>
            <w:tcW w:w="3875" w:type="dxa"/>
            <w:gridSpan w:val="3"/>
            <w:noWrap w:val="0"/>
            <w:vAlign w:val="center"/>
          </w:tcPr>
          <w:p w14:paraId="573D08EC">
            <w:pPr>
              <w:pStyle w:val="5"/>
              <w:rPr>
                <w:rFonts w:hint="eastAsia" w:ascii="仿宋_GB2312" w:hAnsi="仿宋_GB2312" w:eastAsia="仿宋_GB2312" w:cs="仿宋_GB2312"/>
              </w:rPr>
            </w:pPr>
            <w:r>
              <w:rPr>
                <w:rFonts w:hint="eastAsia" w:ascii="仿宋_GB2312" w:hAnsi="仿宋_GB2312" w:eastAsia="仿宋_GB2312" w:cs="仿宋_GB2312"/>
                <w:lang w:eastAsia="zh-CN"/>
              </w:rPr>
              <w:t>成交供应商</w:t>
            </w:r>
            <w:r>
              <w:rPr>
                <w:rFonts w:hint="eastAsia" w:ascii="仿宋_GB2312" w:hAnsi="仿宋_GB2312" w:eastAsia="仿宋_GB2312" w:cs="仿宋_GB2312"/>
              </w:rPr>
              <w:t>签字确认:</w:t>
            </w:r>
          </w:p>
        </w:tc>
      </w:tr>
      <w:tr w14:paraId="054D9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4" w:hRule="atLeast"/>
        </w:trPr>
        <w:tc>
          <w:tcPr>
            <w:tcW w:w="2832" w:type="dxa"/>
            <w:gridSpan w:val="2"/>
            <w:noWrap w:val="0"/>
            <w:vAlign w:val="top"/>
          </w:tcPr>
          <w:p w14:paraId="70C42962">
            <w:pPr>
              <w:pStyle w:val="5"/>
              <w:rPr>
                <w:rFonts w:hint="eastAsia" w:ascii="仿宋_GB2312" w:hAnsi="仿宋_GB2312" w:eastAsia="仿宋_GB2312" w:cs="仿宋_GB2312"/>
              </w:rPr>
            </w:pPr>
            <w:r>
              <w:rPr>
                <w:rFonts w:hint="eastAsia" w:ascii="仿宋_GB2312" w:hAnsi="仿宋_GB2312" w:eastAsia="仿宋_GB2312" w:cs="仿宋_GB2312"/>
              </w:rPr>
              <w:t>意见:</w:t>
            </w:r>
          </w:p>
        </w:tc>
        <w:tc>
          <w:tcPr>
            <w:tcW w:w="6107" w:type="dxa"/>
            <w:gridSpan w:val="4"/>
            <w:noWrap w:val="0"/>
            <w:vAlign w:val="top"/>
          </w:tcPr>
          <w:p w14:paraId="47A91025">
            <w:pPr>
              <w:pStyle w:val="5"/>
              <w:rPr>
                <w:rFonts w:hint="eastAsia" w:ascii="仿宋_GB2312" w:hAnsi="仿宋_GB2312" w:eastAsia="仿宋_GB2312" w:cs="仿宋_GB2312"/>
              </w:rPr>
            </w:pPr>
          </w:p>
        </w:tc>
      </w:tr>
      <w:tr w14:paraId="7DD98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939" w:type="dxa"/>
            <w:gridSpan w:val="6"/>
            <w:noWrap w:val="0"/>
            <w:vAlign w:val="top"/>
          </w:tcPr>
          <w:p w14:paraId="5DD9A696">
            <w:pPr>
              <w:pStyle w:val="5"/>
              <w:rPr>
                <w:rFonts w:hint="eastAsia" w:ascii="仿宋_GB2312" w:hAnsi="仿宋_GB2312" w:eastAsia="仿宋_GB2312" w:cs="仿宋_GB2312"/>
              </w:rPr>
            </w:pPr>
            <w:r>
              <w:rPr>
                <w:rFonts w:hint="eastAsia" w:ascii="仿宋_GB2312" w:hAnsi="仿宋_GB2312" w:eastAsia="仿宋_GB2312" w:cs="仿宋_GB2312"/>
              </w:rPr>
              <w:t>备注：</w:t>
            </w:r>
          </w:p>
          <w:p w14:paraId="6A73F1CB">
            <w:pPr>
              <w:pStyle w:val="5"/>
              <w:rPr>
                <w:rFonts w:hint="eastAsia" w:ascii="仿宋_GB2312" w:hAnsi="仿宋_GB2312" w:eastAsia="仿宋_GB2312" w:cs="仿宋_GB2312"/>
              </w:rPr>
            </w:pPr>
            <w:r>
              <w:rPr>
                <w:rFonts w:hint="eastAsia" w:ascii="仿宋_GB2312" w:hAnsi="仿宋_GB2312" w:eastAsia="仿宋_GB2312" w:cs="仿宋_GB2312"/>
              </w:rPr>
              <w:t>总分为100分。每月检查考核一次，每季度计平均分，季度考核低于</w:t>
            </w:r>
            <w:r>
              <w:rPr>
                <w:rFonts w:hint="eastAsia" w:ascii="仿宋_GB2312" w:hAnsi="仿宋_GB2312" w:eastAsia="仿宋_GB2312" w:cs="仿宋_GB2312"/>
                <w:lang w:val="en-US" w:eastAsia="zh-CN"/>
              </w:rPr>
              <w:t>8</w:t>
            </w:r>
            <w:r>
              <w:rPr>
                <w:rFonts w:hint="eastAsia" w:ascii="仿宋_GB2312" w:hAnsi="仿宋_GB2312" w:eastAsia="仿宋_GB2312" w:cs="仿宋_GB2312"/>
              </w:rPr>
              <w:t>0分,每低于1分扣当季度维护费的10%，低于80分以下年累计出现两次，将通知维护单位终止维护合同。</w:t>
            </w:r>
          </w:p>
          <w:p w14:paraId="4EDCFF74">
            <w:pPr>
              <w:pStyle w:val="5"/>
              <w:rPr>
                <w:rFonts w:hint="eastAsia" w:ascii="仿宋_GB2312" w:hAnsi="仿宋_GB2312" w:eastAsia="仿宋_GB2312" w:cs="仿宋_GB2312"/>
                <w:lang w:val="en-US" w:eastAsia="zh-CN"/>
              </w:rPr>
            </w:pPr>
            <w:r>
              <w:rPr>
                <w:rFonts w:hint="eastAsia" w:ascii="仿宋_GB2312" w:hAnsi="仿宋_GB2312" w:eastAsia="仿宋_GB2312" w:cs="仿宋_GB2312"/>
              </w:rPr>
              <w:t>因</w:t>
            </w:r>
            <w:r>
              <w:rPr>
                <w:rFonts w:hint="eastAsia" w:ascii="仿宋_GB2312" w:hAnsi="仿宋_GB2312" w:eastAsia="仿宋_GB2312" w:cs="仿宋_GB2312"/>
                <w:lang w:eastAsia="zh-CN"/>
              </w:rPr>
              <w:t>成交供应商</w:t>
            </w:r>
            <w:r>
              <w:rPr>
                <w:rFonts w:hint="eastAsia" w:ascii="仿宋_GB2312" w:hAnsi="仿宋_GB2312" w:eastAsia="仿宋_GB2312" w:cs="仿宋_GB2312"/>
              </w:rPr>
              <w:t>维护不当或因</w:t>
            </w:r>
            <w:r>
              <w:rPr>
                <w:rFonts w:hint="eastAsia" w:ascii="仿宋_GB2312" w:hAnsi="仿宋_GB2312" w:eastAsia="仿宋_GB2312" w:cs="仿宋_GB2312"/>
                <w:lang w:eastAsia="zh-CN"/>
              </w:rPr>
              <w:t>成交供应商</w:t>
            </w:r>
            <w:r>
              <w:rPr>
                <w:rFonts w:hint="eastAsia" w:ascii="仿宋_GB2312" w:hAnsi="仿宋_GB2312" w:eastAsia="仿宋_GB2312" w:cs="仿宋_GB2312"/>
              </w:rPr>
              <w:t>原因造成大面积停电停水现象、重大事故或重大安全事故隐患，</w:t>
            </w:r>
            <w:r>
              <w:rPr>
                <w:rFonts w:hint="eastAsia" w:ascii="仿宋_GB2312" w:hAnsi="仿宋_GB2312" w:eastAsia="仿宋_GB2312" w:cs="仿宋_GB2312"/>
                <w:lang w:eastAsia="zh-CN"/>
              </w:rPr>
              <w:t>采购方</w:t>
            </w:r>
            <w:r>
              <w:rPr>
                <w:rFonts w:hint="eastAsia" w:ascii="仿宋_GB2312" w:hAnsi="仿宋_GB2312" w:eastAsia="仿宋_GB2312" w:cs="仿宋_GB2312"/>
              </w:rPr>
              <w:t>有权单方面终止合同，由此产生的人身伤害和财产损坏，</w:t>
            </w:r>
            <w:r>
              <w:rPr>
                <w:rFonts w:hint="eastAsia" w:ascii="仿宋_GB2312" w:hAnsi="仿宋_GB2312" w:eastAsia="仿宋_GB2312" w:cs="仿宋_GB2312"/>
                <w:lang w:eastAsia="zh-CN"/>
              </w:rPr>
              <w:t>成交供应商</w:t>
            </w:r>
            <w:r>
              <w:rPr>
                <w:rFonts w:hint="eastAsia" w:ascii="仿宋_GB2312" w:hAnsi="仿宋_GB2312" w:eastAsia="仿宋_GB2312" w:cs="仿宋_GB2312"/>
              </w:rPr>
              <w:t>应承担赔偿和修复责任。</w:t>
            </w:r>
          </w:p>
        </w:tc>
      </w:tr>
    </w:tbl>
    <w:p w14:paraId="723BB5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719E8"/>
    <w:rsid w:val="2ED71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customStyle="1" w:styleId="5">
    <w:name w:val="null3"/>
    <w:qFormat/>
    <w:uiPriority w:val="0"/>
    <w:rPr>
      <w:rFonts w:hint="eastAsia" w:ascii="Calibri" w:hAnsi="Calibri" w:eastAsia="宋体" w:cs="Times New Roman"/>
      <w:lang w:val="en-US" w:eastAsia="zh-Hans"/>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2025-12-05T08:07:00Z</dcterms:created>
  <dc:creator>CG</dc:creator>
  <cp:lastModifiedBy>CG</cp:lastModifiedBy>
  <dcterms:modified xsi:type="dcterms:W3CDTF">2025-12-05T08:07:28Z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CB84D64983A74B4F846CA22E0986EB9A_11</vt:lpwstr>
  </property>
  <property fmtid="{D5CDD505-2E9C-101B-9397-08002B2CF9AE}" pid="4" name="KSOTemplateDocerSaveRecord">
    <vt:lpwstr>eyJoZGlkIjoiODYyYzgyZjY0NWUxMzEyZGY2NDc2YWM5ZTQxZjAyODYiLCJ1c2VySWQiOiI0MzY2NjA3NTUifQ==</vt:lpwstr>
  </property>
</Properties>
</file>