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版本号：ZY2025-ZB-CS111720251209001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长安区保障性住房日常运营管理项目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ZY2025-ZB-CS1117</w:t>
      </w:r>
      <w:r>
        <w:br/>
      </w:r>
      <w:r>
        <w:br/>
      </w:r>
      <w:r>
        <w:br/>
      </w:r>
    </w:p>
    <w:p>
      <w:pPr>
        <w:pStyle w:val="null3"/>
        <w:jc w:val="center"/>
        <w:outlineLvl w:val="2"/>
      </w:pPr>
      <w:r>
        <w:rPr>
          <w:rFonts w:ascii="仿宋_GB2312" w:hAnsi="仿宋_GB2312" w:cs="仿宋_GB2312" w:eastAsia="仿宋_GB2312"/>
          <w:sz w:val="28"/>
          <w:b/>
        </w:rPr>
        <w:t>西安市长安区住房保障中心</w:t>
      </w:r>
    </w:p>
    <w:p>
      <w:pPr>
        <w:pStyle w:val="null3"/>
        <w:jc w:val="center"/>
        <w:outlineLvl w:val="2"/>
      </w:pPr>
      <w:r>
        <w:rPr>
          <w:rFonts w:ascii="仿宋_GB2312" w:hAnsi="仿宋_GB2312" w:cs="仿宋_GB2312" w:eastAsia="仿宋_GB2312"/>
          <w:sz w:val="28"/>
          <w:b/>
        </w:rPr>
        <w:t>陕西正翼项目管理咨询有限公司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陕西正翼项目管理咨询有限公司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西安市长安区住房保障中心</w:t>
      </w:r>
      <w:r>
        <w:rPr>
          <w:rFonts w:ascii="仿宋_GB2312" w:hAnsi="仿宋_GB2312" w:cs="仿宋_GB2312" w:eastAsia="仿宋_GB2312"/>
        </w:rPr>
        <w:t>委托，拟对</w:t>
      </w:r>
      <w:r>
        <w:rPr>
          <w:rFonts w:ascii="仿宋_GB2312" w:hAnsi="仿宋_GB2312" w:cs="仿宋_GB2312" w:eastAsia="仿宋_GB2312"/>
        </w:rPr>
        <w:t>长安区保障性住房日常运营管理项目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ZY2025-ZB-CS1117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长安区保障性住房日常运营管理项目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长安区保障性住房日常运营管理项目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采购包1（长安区保障性住房日常运营管理项目）：属于专门面向中小企业采购。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2、财务状况报告：提供2024年度经审计的完整财务报告或磋商日期前三个月内其基本存款账户开户银行出具的资信证明。（如提供资信证明，须同时提供基本存款账户开户许可证或基本账户信息表）。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3、税收缴纳证明：提供2025年1月至今已缴纳的至少一个月的纳税证明（时间以税款所属日期为准)，依法免税的单位应提供相关证明材料。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5、书面声明：提供具有履行本合同所必需的设备和专业技术能力的书面声明及承诺。</w:t>
      </w:r>
    </w:p>
    <w:p>
      <w:pPr>
        <w:pStyle w:val="null3"/>
      </w:pPr>
      <w:r>
        <w:rPr>
          <w:rFonts w:ascii="仿宋_GB2312" w:hAnsi="仿宋_GB2312" w:cs="仿宋_GB2312" w:eastAsia="仿宋_GB2312"/>
        </w:rPr>
        <w:t>6、无重大违法记录：提供参加本次政府采购活动前三年内在经营活动中没有重大违法记录的书面声明。</w:t>
      </w:r>
    </w:p>
    <w:p>
      <w:pPr>
        <w:pStyle w:val="null3"/>
      </w:pPr>
      <w:r>
        <w:rPr>
          <w:rFonts w:ascii="仿宋_GB2312" w:hAnsi="仿宋_GB2312" w:cs="仿宋_GB2312" w:eastAsia="仿宋_GB2312"/>
        </w:rPr>
        <w:t>7、信用记录：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8、授权委托书：法定代表人授权委托书、被授权人身份证(法定代表人参加开标时,只需提供法定代表人身份证；被授权人参加开标时，须提供开标前三个月内任意一个月的社保证明材料。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西安市长安区住房保障中心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西安市西长安街145号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胡英妮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13363997381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陕西正翼项目管理咨询有限公司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陕西省西安市未央区西安经济技术开发区凤城一路6号利君V时代B座901、912室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林工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029-86210100转810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采购包1：965,000.00元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布《招标代理服务收费管理暂行办法》（计价格[2002]1980号）和国家发展和改革委员会办公厅颁发的《关于招标代理服务收费有关问题的通知》（发改办价格[2003]857号）文件规定执行。 招标代理服务费缴纳账户： 开户名称：陕西正翼项目管理咨询有限公司西安分公司 开户银行：中国光大银行股份有限公司西安经济技术开发区支行 账 号：78680188000360910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西安市长安区住房保障中心</w:t>
      </w:r>
      <w:r>
        <w:rPr>
          <w:rFonts w:ascii="仿宋_GB2312" w:hAnsi="仿宋_GB2312" w:cs="仿宋_GB2312" w:eastAsia="仿宋_GB2312"/>
        </w:rPr>
        <w:t>和</w:t>
      </w:r>
      <w:r>
        <w:rPr>
          <w:rFonts w:ascii="仿宋_GB2312" w:hAnsi="仿宋_GB2312" w:cs="仿宋_GB2312" w:eastAsia="仿宋_GB2312"/>
        </w:rPr>
        <w:t>陕西正翼项目管理咨询有限公司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西安市长安区住房保障中心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陕西正翼项目管理咨询有限公司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西安市长安区住房保障中心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陕西正翼项目管理咨询有限公司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联系人：林工</w:t>
      </w:r>
    </w:p>
    <w:p>
      <w:pPr>
        <w:pStyle w:val="null3"/>
      </w:pPr>
      <w:r>
        <w:rPr>
          <w:rFonts w:ascii="仿宋_GB2312" w:hAnsi="仿宋_GB2312" w:cs="仿宋_GB2312" w:eastAsia="仿宋_GB2312"/>
        </w:rPr>
        <w:t>联系电话：029-86210100转810</w:t>
      </w:r>
    </w:p>
    <w:p>
      <w:pPr>
        <w:pStyle w:val="null3"/>
      </w:pPr>
      <w:r>
        <w:rPr>
          <w:rFonts w:ascii="仿宋_GB2312" w:hAnsi="仿宋_GB2312" w:cs="仿宋_GB2312" w:eastAsia="仿宋_GB2312"/>
        </w:rPr>
        <w:t>地址：陕西省西安市未央区西安经济技术开发区凤城一路6号利君V时代B座901、912室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长安区住房保障中心按照市住保办印发《关于印发2025年保障性住房工作实施方案的通知》（市住保办〔2025〕1号），要求各区县要“成立或整合保障房运营企业、完成一公司专营一类保障房”的工作任务，减少和规范委托运营，发挥专业管理作用，提高运营效率和资产收益率，提升精细化管理水平。 针对长安区保障性住房日常运营管理项目，现特向社会购买包括劳务聘用在内的运营管理服务。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965,000.00</w:t>
      </w:r>
    </w:p>
    <w:p>
      <w:pPr>
        <w:pStyle w:val="null3"/>
      </w:pPr>
      <w:r>
        <w:rPr>
          <w:rFonts w:ascii="仿宋_GB2312" w:hAnsi="仿宋_GB2312" w:cs="仿宋_GB2312" w:eastAsia="仿宋_GB2312"/>
        </w:rPr>
        <w:t>采购包最高限价（元）: 965,000.00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长安区保障性住房日常运营管理项目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标的名称：长安区保障性住房日常运营管理项目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b/>
              </w:rPr>
              <w:t>一</w:t>
            </w:r>
            <w:r>
              <w:rPr>
                <w:rFonts w:ascii="仿宋_GB2312" w:hAnsi="仿宋_GB2312" w:cs="仿宋_GB2312" w:eastAsia="仿宋_GB2312"/>
                <w:sz w:val="21"/>
                <w:b/>
              </w:rPr>
              <w:t>、</w:t>
            </w:r>
            <w:r>
              <w:rPr>
                <w:rFonts w:ascii="仿宋_GB2312" w:hAnsi="仿宋_GB2312" w:cs="仿宋_GB2312" w:eastAsia="仿宋_GB2312"/>
                <w:sz w:val="21"/>
                <w:b/>
              </w:rPr>
              <w:t>项目概况</w:t>
            </w:r>
          </w:p>
          <w:p>
            <w:pPr>
              <w:pStyle w:val="null3"/>
              <w:ind w:firstLine="420"/>
              <w:jc w:val="both"/>
            </w:pPr>
            <w:r>
              <w:rPr>
                <w:rFonts w:ascii="仿宋_GB2312" w:hAnsi="仿宋_GB2312" w:cs="仿宋_GB2312" w:eastAsia="仿宋_GB2312"/>
                <w:sz w:val="21"/>
              </w:rPr>
              <w:t>西安市长安区住房保障中心按照市住保办印发《关于印发</w:t>
            </w:r>
            <w:r>
              <w:rPr>
                <w:rFonts w:ascii="仿宋_GB2312" w:hAnsi="仿宋_GB2312" w:cs="仿宋_GB2312" w:eastAsia="仿宋_GB2312"/>
                <w:sz w:val="21"/>
              </w:rPr>
              <w:t>2025年保障性住房工作实施方案的通知》（市住保办〔2025〕1号），要求各区县要“成立或整合保障房运营企业、完成一公司专营一类保障房”的工作任务，减少和规范委托运营，发挥专业管理作用，提高运营效率和资产收益率，提升精细化管理水平。</w:t>
            </w:r>
          </w:p>
          <w:p>
            <w:pPr>
              <w:pStyle w:val="null3"/>
              <w:ind w:firstLine="420"/>
              <w:jc w:val="both"/>
            </w:pPr>
            <w:r>
              <w:rPr>
                <w:rFonts w:ascii="仿宋_GB2312" w:hAnsi="仿宋_GB2312" w:cs="仿宋_GB2312" w:eastAsia="仿宋_GB2312"/>
                <w:sz w:val="21"/>
              </w:rPr>
              <w:t>针对长安区保障性住房日常运营管理项目，现特向社会购买包括劳务聘用在内的运营管理服务。</w:t>
            </w:r>
          </w:p>
          <w:p>
            <w:pPr>
              <w:pStyle w:val="null3"/>
              <w:ind w:firstLine="420"/>
              <w:jc w:val="both"/>
            </w:pPr>
            <w:r>
              <w:rPr>
                <w:rFonts w:ascii="仿宋_GB2312" w:hAnsi="仿宋_GB2312" w:cs="仿宋_GB2312" w:eastAsia="仿宋_GB2312"/>
                <w:sz w:val="21"/>
              </w:rPr>
              <w:t>长安区保障性住房地址位于</w:t>
            </w:r>
            <w:r>
              <w:rPr>
                <w:rFonts w:ascii="仿宋_GB2312" w:hAnsi="仿宋_GB2312" w:cs="仿宋_GB2312" w:eastAsia="仿宋_GB2312"/>
                <w:sz w:val="21"/>
                <w:u w:val="single"/>
              </w:rPr>
              <w:t>西安市长安区</w:t>
            </w:r>
          </w:p>
          <w:p>
            <w:pPr>
              <w:pStyle w:val="null3"/>
              <w:ind w:firstLine="420"/>
              <w:jc w:val="both"/>
            </w:pPr>
            <w:r>
              <w:rPr>
                <w:rFonts w:ascii="仿宋_GB2312" w:hAnsi="仿宋_GB2312" w:cs="仿宋_GB2312" w:eastAsia="仿宋_GB2312"/>
                <w:sz w:val="21"/>
                <w:u w:val="single"/>
              </w:rPr>
              <w:t>长安区保障性住房房源信息</w:t>
            </w:r>
          </w:p>
          <w:p>
            <w:pPr>
              <w:pStyle w:val="null3"/>
              <w:ind w:firstLine="420"/>
              <w:jc w:val="both"/>
            </w:pPr>
            <w:r>
              <w:rPr>
                <w:rFonts w:ascii="仿宋_GB2312" w:hAnsi="仿宋_GB2312" w:cs="仿宋_GB2312" w:eastAsia="仿宋_GB2312"/>
                <w:sz w:val="21"/>
                <w:u w:val="single"/>
              </w:rPr>
              <w:t>总房源</w:t>
            </w:r>
            <w:r>
              <w:rPr>
                <w:rFonts w:ascii="仿宋_GB2312" w:hAnsi="仿宋_GB2312" w:cs="仿宋_GB2312" w:eastAsia="仿宋_GB2312"/>
                <w:sz w:val="21"/>
                <w:u w:val="single"/>
              </w:rPr>
              <w:t>2298套房源</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中海长安府公租房</w:t>
            </w:r>
            <w:r>
              <w:rPr>
                <w:rFonts w:ascii="仿宋_GB2312" w:hAnsi="仿宋_GB2312" w:cs="仿宋_GB2312" w:eastAsia="仿宋_GB2312"/>
                <w:sz w:val="21"/>
              </w:rPr>
              <w:t>，</w:t>
            </w:r>
            <w:r>
              <w:rPr>
                <w:rFonts w:ascii="仿宋_GB2312" w:hAnsi="仿宋_GB2312" w:cs="仿宋_GB2312" w:eastAsia="仿宋_GB2312"/>
                <w:sz w:val="21"/>
              </w:rPr>
              <w:t>房源</w:t>
            </w:r>
            <w:r>
              <w:rPr>
                <w:rFonts w:ascii="仿宋_GB2312" w:hAnsi="仿宋_GB2312" w:cs="仿宋_GB2312" w:eastAsia="仿宋_GB2312"/>
                <w:sz w:val="21"/>
              </w:rPr>
              <w:t>971套,住宅建筑面积</w:t>
            </w:r>
            <w:r>
              <w:rPr>
                <w:rFonts w:ascii="仿宋_GB2312" w:hAnsi="仿宋_GB2312" w:cs="仿宋_GB2312" w:eastAsia="仿宋_GB2312"/>
                <w:sz w:val="21"/>
                <w:u w:val="single"/>
              </w:rPr>
              <w:t>7.38万</w:t>
            </w:r>
            <w:r>
              <w:rPr>
                <w:rFonts w:ascii="仿宋_GB2312" w:hAnsi="仿宋_GB2312" w:cs="仿宋_GB2312" w:eastAsia="仿宋_GB2312"/>
                <w:sz w:val="21"/>
              </w:rPr>
              <w:t>平方米</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金茂府公租房，房源</w:t>
            </w:r>
            <w:r>
              <w:rPr>
                <w:rFonts w:ascii="仿宋_GB2312" w:hAnsi="仿宋_GB2312" w:cs="仿宋_GB2312" w:eastAsia="仿宋_GB2312"/>
                <w:sz w:val="21"/>
              </w:rPr>
              <w:t>224套，住宅建筑面积</w:t>
            </w:r>
            <w:r>
              <w:rPr>
                <w:rFonts w:ascii="仿宋_GB2312" w:hAnsi="仿宋_GB2312" w:cs="仿宋_GB2312" w:eastAsia="仿宋_GB2312"/>
                <w:sz w:val="21"/>
                <w:u w:val="single"/>
              </w:rPr>
              <w:t>1.59万</w:t>
            </w:r>
            <w:r>
              <w:rPr>
                <w:rFonts w:ascii="仿宋_GB2312" w:hAnsi="仿宋_GB2312" w:cs="仿宋_GB2312" w:eastAsia="仿宋_GB2312"/>
                <w:sz w:val="21"/>
              </w:rPr>
              <w:t>平方米</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悦美国际公租房，房源</w:t>
            </w:r>
            <w:r>
              <w:rPr>
                <w:rFonts w:ascii="仿宋_GB2312" w:hAnsi="仿宋_GB2312" w:cs="仿宋_GB2312" w:eastAsia="仿宋_GB2312"/>
                <w:sz w:val="21"/>
              </w:rPr>
              <w:t>403套，住宅建筑面积</w:t>
            </w:r>
            <w:r>
              <w:rPr>
                <w:rFonts w:ascii="仿宋_GB2312" w:hAnsi="仿宋_GB2312" w:cs="仿宋_GB2312" w:eastAsia="仿宋_GB2312"/>
                <w:sz w:val="21"/>
                <w:u w:val="single"/>
              </w:rPr>
              <w:t>2.07万</w:t>
            </w:r>
            <w:r>
              <w:rPr>
                <w:rFonts w:ascii="仿宋_GB2312" w:hAnsi="仿宋_GB2312" w:cs="仿宋_GB2312" w:eastAsia="仿宋_GB2312"/>
                <w:sz w:val="21"/>
              </w:rPr>
              <w:t>平方米</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万科二期公租房，房源</w:t>
            </w:r>
            <w:r>
              <w:rPr>
                <w:rFonts w:ascii="仿宋_GB2312" w:hAnsi="仿宋_GB2312" w:cs="仿宋_GB2312" w:eastAsia="仿宋_GB2312"/>
                <w:sz w:val="21"/>
              </w:rPr>
              <w:t>252套</w:t>
            </w:r>
          </w:p>
          <w:p>
            <w:pPr>
              <w:pStyle w:val="null3"/>
              <w:ind w:firstLine="210"/>
              <w:jc w:val="both"/>
            </w:pPr>
            <w:r>
              <w:rPr>
                <w:rFonts w:ascii="仿宋_GB2312" w:hAnsi="仿宋_GB2312" w:cs="仿宋_GB2312" w:eastAsia="仿宋_GB2312"/>
                <w:sz w:val="21"/>
              </w:rPr>
              <w:t xml:space="preserve">     </w:t>
            </w:r>
            <w:r>
              <w:rPr>
                <w:rFonts w:ascii="仿宋_GB2312" w:hAnsi="仿宋_GB2312" w:cs="仿宋_GB2312" w:eastAsia="仿宋_GB2312"/>
                <w:sz w:val="21"/>
              </w:rPr>
              <w:t>住宅建筑面积</w:t>
            </w:r>
            <w:r>
              <w:rPr>
                <w:rFonts w:ascii="仿宋_GB2312" w:hAnsi="仿宋_GB2312" w:cs="仿宋_GB2312" w:eastAsia="仿宋_GB2312"/>
                <w:sz w:val="21"/>
                <w:u w:val="single"/>
              </w:rPr>
              <w:t>1.22万</w:t>
            </w:r>
            <w:r>
              <w:rPr>
                <w:rFonts w:ascii="仿宋_GB2312" w:hAnsi="仿宋_GB2312" w:cs="仿宋_GB2312" w:eastAsia="仿宋_GB2312"/>
                <w:sz w:val="21"/>
              </w:rPr>
              <w:t>平方米</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沃呈常宁公租房小区，房源</w:t>
            </w:r>
            <w:r>
              <w:rPr>
                <w:rFonts w:ascii="仿宋_GB2312" w:hAnsi="仿宋_GB2312" w:cs="仿宋_GB2312" w:eastAsia="仿宋_GB2312"/>
                <w:sz w:val="21"/>
              </w:rPr>
              <w:t>26套，住宅建筑面积</w:t>
            </w:r>
            <w:r>
              <w:rPr>
                <w:rFonts w:ascii="仿宋_GB2312" w:hAnsi="仿宋_GB2312" w:cs="仿宋_GB2312" w:eastAsia="仿宋_GB2312"/>
                <w:sz w:val="21"/>
                <w:u w:val="single"/>
              </w:rPr>
              <w:t>0.2万</w:t>
            </w:r>
            <w:r>
              <w:rPr>
                <w:rFonts w:ascii="仿宋_GB2312" w:hAnsi="仿宋_GB2312" w:cs="仿宋_GB2312" w:eastAsia="仿宋_GB2312"/>
                <w:sz w:val="21"/>
              </w:rPr>
              <w:t>平方米</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双竹村廉租房，房源</w:t>
            </w:r>
            <w:r>
              <w:rPr>
                <w:rFonts w:ascii="仿宋_GB2312" w:hAnsi="仿宋_GB2312" w:cs="仿宋_GB2312" w:eastAsia="仿宋_GB2312"/>
                <w:sz w:val="21"/>
              </w:rPr>
              <w:t>372套，住宅建筑面积</w:t>
            </w:r>
            <w:r>
              <w:rPr>
                <w:rFonts w:ascii="仿宋_GB2312" w:hAnsi="仿宋_GB2312" w:cs="仿宋_GB2312" w:eastAsia="仿宋_GB2312"/>
                <w:sz w:val="21"/>
                <w:u w:val="single"/>
              </w:rPr>
              <w:t>1.86万</w:t>
            </w:r>
            <w:r>
              <w:rPr>
                <w:rFonts w:ascii="仿宋_GB2312" w:hAnsi="仿宋_GB2312" w:cs="仿宋_GB2312" w:eastAsia="仿宋_GB2312"/>
                <w:sz w:val="21"/>
              </w:rPr>
              <w:t>平方米</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盛世长安公租房，房源</w:t>
            </w:r>
            <w:r>
              <w:rPr>
                <w:rFonts w:ascii="仿宋_GB2312" w:hAnsi="仿宋_GB2312" w:cs="仿宋_GB2312" w:eastAsia="仿宋_GB2312"/>
                <w:sz w:val="21"/>
              </w:rPr>
              <w:t>50套，住宅建筑面积</w:t>
            </w:r>
            <w:r>
              <w:rPr>
                <w:rFonts w:ascii="仿宋_GB2312" w:hAnsi="仿宋_GB2312" w:cs="仿宋_GB2312" w:eastAsia="仿宋_GB2312"/>
                <w:sz w:val="21"/>
                <w:u w:val="single"/>
              </w:rPr>
              <w:t>0.25万</w:t>
            </w:r>
            <w:r>
              <w:rPr>
                <w:rFonts w:ascii="仿宋_GB2312" w:hAnsi="仿宋_GB2312" w:cs="仿宋_GB2312" w:eastAsia="仿宋_GB2312"/>
                <w:sz w:val="21"/>
              </w:rPr>
              <w:t>平方米</w:t>
            </w:r>
          </w:p>
          <w:p>
            <w:pPr>
              <w:pStyle w:val="null3"/>
              <w:ind w:firstLine="420"/>
              <w:jc w:val="both"/>
            </w:pPr>
            <w:r>
              <w:rPr>
                <w:rFonts w:ascii="仿宋_GB2312" w:hAnsi="仿宋_GB2312" w:cs="仿宋_GB2312" w:eastAsia="仿宋_GB2312"/>
                <w:sz w:val="21"/>
              </w:rPr>
              <w:t>本次采购的年限为</w:t>
            </w:r>
            <w:r>
              <w:rPr>
                <w:rFonts w:ascii="仿宋_GB2312" w:hAnsi="仿宋_GB2312" w:cs="仿宋_GB2312" w:eastAsia="仿宋_GB2312"/>
                <w:sz w:val="21"/>
              </w:rPr>
              <w:t>2025</w:t>
            </w:r>
            <w:r>
              <w:rPr>
                <w:rFonts w:ascii="仿宋_GB2312" w:hAnsi="仿宋_GB2312" w:cs="仿宋_GB2312" w:eastAsia="仿宋_GB2312"/>
                <w:sz w:val="21"/>
              </w:rPr>
              <w:t xml:space="preserve"> </w:t>
            </w:r>
            <w:r>
              <w:rPr>
                <w:rFonts w:ascii="仿宋_GB2312" w:hAnsi="仿宋_GB2312" w:cs="仿宋_GB2312" w:eastAsia="仿宋_GB2312"/>
                <w:sz w:val="21"/>
              </w:rPr>
              <w:t>年年度，全年预算金额</w:t>
            </w:r>
            <w:r>
              <w:rPr>
                <w:rFonts w:ascii="仿宋_GB2312" w:hAnsi="仿宋_GB2312" w:cs="仿宋_GB2312" w:eastAsia="仿宋_GB2312"/>
                <w:sz w:val="21"/>
              </w:rPr>
              <w:t>96.5万元，包含基础费用、业务服务费用</w:t>
            </w:r>
            <w:r>
              <w:rPr>
                <w:rFonts w:ascii="仿宋_GB2312" w:hAnsi="仿宋_GB2312" w:cs="仿宋_GB2312" w:eastAsia="仿宋_GB2312"/>
                <w:sz w:val="21"/>
              </w:rPr>
              <w:t>【</w:t>
            </w:r>
            <w:r>
              <w:rPr>
                <w:rFonts w:ascii="仿宋_GB2312" w:hAnsi="仿宋_GB2312" w:cs="仿宋_GB2312" w:eastAsia="仿宋_GB2312"/>
                <w:sz w:val="21"/>
              </w:rPr>
              <w:t>入住管理、退出及续租管理、房屋使用巡查管理、房屋承接接收</w:t>
            </w:r>
            <w:r>
              <w:rPr>
                <w:rFonts w:ascii="仿宋_GB2312" w:hAnsi="仿宋_GB2312" w:cs="仿宋_GB2312" w:eastAsia="仿宋_GB2312"/>
                <w:sz w:val="21"/>
              </w:rPr>
              <w:t>管理</w:t>
            </w:r>
            <w:r>
              <w:rPr>
                <w:rFonts w:ascii="仿宋_GB2312" w:hAnsi="仿宋_GB2312" w:cs="仿宋_GB2312" w:eastAsia="仿宋_GB2312"/>
                <w:sz w:val="21"/>
              </w:rPr>
              <w:t>、房屋维修养护</w:t>
            </w:r>
            <w:r>
              <w:rPr>
                <w:rFonts w:ascii="仿宋_GB2312" w:hAnsi="仿宋_GB2312" w:cs="仿宋_GB2312" w:eastAsia="仿宋_GB2312"/>
                <w:sz w:val="21"/>
              </w:rPr>
              <w:t>管理</w:t>
            </w:r>
            <w:r>
              <w:rPr>
                <w:rFonts w:ascii="仿宋_GB2312" w:hAnsi="仿宋_GB2312" w:cs="仿宋_GB2312" w:eastAsia="仿宋_GB2312"/>
                <w:sz w:val="21"/>
              </w:rPr>
              <w:t>、租金管理、综合管理七项内容</w:t>
            </w:r>
            <w:r>
              <w:rPr>
                <w:rFonts w:ascii="仿宋_GB2312" w:hAnsi="仿宋_GB2312" w:cs="仿宋_GB2312" w:eastAsia="仿宋_GB2312"/>
                <w:sz w:val="21"/>
              </w:rPr>
              <w:t>】</w:t>
            </w:r>
            <w:r>
              <w:rPr>
                <w:rFonts w:ascii="仿宋_GB2312" w:hAnsi="仿宋_GB2312" w:cs="仿宋_GB2312" w:eastAsia="仿宋_GB2312"/>
                <w:sz w:val="21"/>
              </w:rPr>
              <w:t>等。</w:t>
            </w:r>
          </w:p>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服务内容：</w:t>
            </w:r>
          </w:p>
          <w:p>
            <w:pPr>
              <w:pStyle w:val="null3"/>
              <w:numPr>
                <w:ilvl w:val="0"/>
                <w:numId w:val="1"/>
              </w:numPr>
              <w:jc w:val="both"/>
            </w:pPr>
            <w:r>
              <w:rPr>
                <w:rFonts w:ascii="仿宋_GB2312" w:hAnsi="仿宋_GB2312" w:cs="仿宋_GB2312" w:eastAsia="仿宋_GB2312"/>
                <w:sz w:val="21"/>
              </w:rPr>
              <w:t>长安区保障性住房日常运营管理。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招聘工作人员</w:t>
            </w: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名，主要工作如下：入住管理、退出及续租管理、房屋使用巡查管理、房屋承接接收管理、房屋维修养护管理、租金管理、综合管理</w:t>
            </w:r>
            <w:r>
              <w:rPr>
                <w:rFonts w:ascii="仿宋_GB2312" w:hAnsi="仿宋_GB2312" w:cs="仿宋_GB2312" w:eastAsia="仿宋_GB2312"/>
                <w:sz w:val="21"/>
              </w:rPr>
              <w:t>、</w:t>
            </w:r>
            <w:r>
              <w:rPr>
                <w:rFonts w:ascii="仿宋_GB2312" w:hAnsi="仿宋_GB2312" w:cs="仿宋_GB2312" w:eastAsia="仿宋_GB2312"/>
                <w:sz w:val="21"/>
              </w:rPr>
              <w:t>日常接待工作、日常文件的整理工作</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对各物业企业进行日常工作考核评价。</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办理</w:t>
            </w:r>
            <w:r>
              <w:rPr>
                <w:rFonts w:ascii="仿宋_GB2312" w:hAnsi="仿宋_GB2312" w:cs="仿宋_GB2312" w:eastAsia="仿宋_GB2312"/>
                <w:sz w:val="21"/>
              </w:rPr>
              <w:t>采购人</w:t>
            </w:r>
            <w:r>
              <w:rPr>
                <w:rFonts w:ascii="仿宋_GB2312" w:hAnsi="仿宋_GB2312" w:cs="仿宋_GB2312" w:eastAsia="仿宋_GB2312"/>
                <w:sz w:val="21"/>
              </w:rPr>
              <w:t>交办的工作等。</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服务人员总数</w:t>
            </w: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人，必须保证在岗，如遇缺岗成交供应商必须另行安排人员替岗，以确保日常工作的正常运行。</w:t>
            </w:r>
          </w:p>
          <w:p>
            <w:pPr>
              <w:pStyle w:val="null3"/>
              <w:numPr>
                <w:ilvl w:val="0"/>
                <w:numId w:val="1"/>
              </w:numPr>
              <w:jc w:val="both"/>
            </w:pPr>
            <w:r>
              <w:rPr>
                <w:rFonts w:ascii="仿宋_GB2312" w:hAnsi="仿宋_GB2312" w:cs="仿宋_GB2312" w:eastAsia="仿宋_GB2312"/>
                <w:sz w:val="21"/>
              </w:rPr>
              <w:t>负责日常运营管理所需要的以下费用的支出：包括上述基础费用，业务服务费用，网络（专线）费，通讯费，日常办公费</w:t>
            </w:r>
            <w:r>
              <w:rPr>
                <w:rFonts w:ascii="仿宋_GB2312" w:hAnsi="仿宋_GB2312" w:cs="仿宋_GB2312" w:eastAsia="仿宋_GB2312"/>
                <w:sz w:val="21"/>
              </w:rPr>
              <w:t>及耗材费</w:t>
            </w:r>
            <w:r>
              <w:rPr>
                <w:rFonts w:ascii="仿宋_GB2312" w:hAnsi="仿宋_GB2312" w:cs="仿宋_GB2312" w:eastAsia="仿宋_GB2312"/>
                <w:sz w:val="21"/>
              </w:rPr>
              <w:t>，</w:t>
            </w:r>
            <w:r>
              <w:rPr>
                <w:rFonts w:ascii="仿宋_GB2312" w:hAnsi="仿宋_GB2312" w:cs="仿宋_GB2312" w:eastAsia="仿宋_GB2312"/>
                <w:sz w:val="21"/>
              </w:rPr>
              <w:t>办公场所</w:t>
            </w:r>
            <w:r>
              <w:rPr>
                <w:rFonts w:ascii="仿宋_GB2312" w:hAnsi="仿宋_GB2312" w:cs="仿宋_GB2312" w:eastAsia="仿宋_GB2312"/>
                <w:sz w:val="21"/>
              </w:rPr>
              <w:t>绿化费，</w:t>
            </w:r>
            <w:r>
              <w:rPr>
                <w:rFonts w:ascii="仿宋_GB2312" w:hAnsi="仿宋_GB2312" w:cs="仿宋_GB2312" w:eastAsia="仿宋_GB2312"/>
                <w:sz w:val="21"/>
              </w:rPr>
              <w:t>办公场所</w:t>
            </w:r>
            <w:r>
              <w:rPr>
                <w:rFonts w:ascii="仿宋_GB2312" w:hAnsi="仿宋_GB2312" w:cs="仿宋_GB2312" w:eastAsia="仿宋_GB2312"/>
                <w:sz w:val="21"/>
              </w:rPr>
              <w:t>内所有物品的日常维护及维修费用，相关其他费用及乙方为履行本合同过程所提供的一切服务的税费。</w:t>
            </w:r>
          </w:p>
          <w:p>
            <w:pPr>
              <w:pStyle w:val="null3"/>
              <w:jc w:val="both"/>
            </w:pPr>
            <w:r>
              <w:rPr>
                <w:rFonts w:ascii="仿宋_GB2312" w:hAnsi="仿宋_GB2312" w:cs="仿宋_GB2312" w:eastAsia="仿宋_GB2312"/>
                <w:sz w:val="21"/>
                <w:b/>
              </w:rPr>
              <w:t>服务人员配置要求（</w:t>
            </w:r>
            <w:r>
              <w:rPr>
                <w:rFonts w:ascii="仿宋_GB2312" w:hAnsi="仿宋_GB2312" w:cs="仿宋_GB2312" w:eastAsia="仿宋_GB2312"/>
                <w:sz w:val="21"/>
                <w:b/>
              </w:rPr>
              <w:t>14人）</w:t>
            </w:r>
          </w:p>
          <w:tbl>
            <w:tblPr>
              <w:tblBorders>
                <w:top w:val="none" w:color="000000" w:sz="4"/>
                <w:left w:val="none" w:color="000000" w:sz="4"/>
                <w:bottom w:val="none" w:color="000000" w:sz="4"/>
                <w:right w:val="none" w:color="000000" w:sz="4"/>
                <w:insideH w:val="none"/>
                <w:insideV w:val="none"/>
              </w:tblBorders>
            </w:tblPr>
            <w:tblGrid>
              <w:gridCol w:w="219"/>
              <w:gridCol w:w="739"/>
              <w:gridCol w:w="279"/>
              <w:gridCol w:w="1315"/>
            </w:tblGrid>
            <w:tr>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7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岗位</w:t>
                  </w:r>
                </w:p>
              </w:tc>
              <w:tc>
                <w:tcPr>
                  <w:tcW w:type="dxa" w:w="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人数</w:t>
                  </w:r>
                </w:p>
              </w:tc>
              <w:tc>
                <w:tcPr>
                  <w:tcW w:type="dxa" w:w="13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要求</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负责人</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具备较强的综合管理能力</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综合管理部管理岗</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具备较好的业务沟通协调能力</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综合管理部</w:t>
                  </w:r>
                  <w:r>
                    <w:rPr>
                      <w:rFonts w:ascii="仿宋_GB2312" w:hAnsi="仿宋_GB2312" w:cs="仿宋_GB2312" w:eastAsia="仿宋_GB2312"/>
                      <w:sz w:val="21"/>
                    </w:rPr>
                    <w:t>专员</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熟悉掌握相关政策信息及系统操作</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会计</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熟悉财务会计、管理会计、财务管理等方面的专业知识</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出纳</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具备财务、会计、经济等相关专业知识。</w:t>
                  </w:r>
                  <w:r>
                    <w:rPr>
                      <w:rFonts w:ascii="仿宋_GB2312" w:hAnsi="仿宋_GB2312" w:cs="仿宋_GB2312" w:eastAsia="仿宋_GB2312"/>
                      <w:sz w:val="21"/>
                    </w:rPr>
                    <w:t>熟悉财经法律法规和财务核算制度。</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租赁管理部管理岗</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具备较好的业务沟通协调能力</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租赁管理部专员</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熟悉掌握相关政策信息及系统操作</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保障房管理部管理岗</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具备较好的业务沟通协调能力</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保障房管理部专员</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熟悉掌握相关政策信息及系统操作</w:t>
                  </w:r>
                </w:p>
              </w:tc>
            </w:tr>
          </w:tbl>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服务要求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接到采购人的用工需求后，</w:t>
            </w:r>
            <w:r>
              <w:rPr>
                <w:rFonts w:ascii="仿宋_GB2312" w:hAnsi="仿宋_GB2312" w:cs="仿宋_GB2312" w:eastAsia="仿宋_GB2312"/>
                <w:sz w:val="21"/>
              </w:rPr>
              <w:t>5个工作日内向采购人提供符合要求（男女不限，年龄20-45岁，</w:t>
            </w:r>
            <w:r>
              <w:rPr>
                <w:rFonts w:ascii="仿宋_GB2312" w:hAnsi="仿宋_GB2312" w:cs="仿宋_GB2312" w:eastAsia="仿宋_GB2312"/>
                <w:sz w:val="21"/>
              </w:rPr>
              <w:t>具备相关运营服务经验，</w:t>
            </w:r>
            <w:r>
              <w:rPr>
                <w:rFonts w:ascii="仿宋_GB2312" w:hAnsi="仿宋_GB2312" w:cs="仿宋_GB2312" w:eastAsia="仿宋_GB2312"/>
                <w:sz w:val="21"/>
              </w:rPr>
              <w:t>形象好气质佳，熟练运用电脑办公）的工作人员的汇总明细资料。</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及时聘用人员到岗工作，并负责所有聘用人员的人事、劳资、社会保险、计生、党团、基础上岗培训等人事管理工作。</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上岗人员要求服装统一，注意仪容仪表，力求着装整洁、大方、得体，充分体现职业风格。</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负责为聘用人员办理劳动用工手续（签订劳动合同）、结算发放工资、发放经济补偿金、缴纳社会保险、处理保险理赔、管理人事档案及党组织关系、提供员工培训等管理服务。</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负责对聘用员工进行经常性职业道德教育，监督检查聘用员工执行采购人的各项规章制度情况，依据劳务聘用协议的约定对违法违规员工进行处理，及时更换不能胜任工作的聘用人员，维护采购人的正常工作秩序。</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负责处理合同服务期内所有劳务、劳资纠纷和调节管理纠纷，落实采购人根据规章制度和工作需要所提出的其它管理要求。</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聘用公司应教育聘用人员遵守国家法律法规以及采购人的机关规章制度、管理规范和劳动纪律，服从和执行采购人的工作安排和调度，接受采购人管理人员的监督。因劳务聘用人员失职、故意行为、违法犯罪行为造成采购人经济损失的，聘用公司除协助采购人对聘用人员进行处理外，还应承担相应的管理责任。</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聘用公司须保证按照合同约定的时间和采购人核定的标准，及时、足额向全体聘用人员发放工资和福利，及时缴纳社保。因聘用公司挪用聘用人员相关费用所引起的一切法律责任和社会影响均由聘用公司承担，采购人有权提前终止服务合同。聘用公司应承担聘用人员在工作中发生意外身故、意外残疾、意外伤害的责任。</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按</w:t>
            </w:r>
            <w:r>
              <w:rPr>
                <w:rFonts w:ascii="仿宋_GB2312" w:hAnsi="仿宋_GB2312" w:cs="仿宋_GB2312" w:eastAsia="仿宋_GB2312"/>
                <w:sz w:val="21"/>
              </w:rPr>
              <w:t>采购人</w:t>
            </w:r>
            <w:r>
              <w:rPr>
                <w:rFonts w:ascii="仿宋_GB2312" w:hAnsi="仿宋_GB2312" w:cs="仿宋_GB2312" w:eastAsia="仿宋_GB2312"/>
                <w:sz w:val="21"/>
              </w:rPr>
              <w:t>所要求招聘工作人员，负责一切与本项目相关的办公费用，接受采购人的检查和监督，任何因未及时缴纳费用造成的工作影响均由成交供应商负责。</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服务期间全程接受采购人的业务管理，认真完成各项服务工作，所有业务均需按采购人要求进行办理，办公区需提供</w:t>
            </w:r>
            <w:r>
              <w:rPr>
                <w:rFonts w:ascii="仿宋_GB2312" w:hAnsi="仿宋_GB2312" w:cs="仿宋_GB2312" w:eastAsia="仿宋_GB2312"/>
                <w:sz w:val="21"/>
              </w:rPr>
              <w:t>2部以上咨询服务电话，确保业务的正常进行。不得从事任何未经采购人所同意的业务，接受采购人的培训，保证办公区公共安全和环境卫生。</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服务期间，经采购人核实因劳务聘用人员工作失职、态度恶劣、违反相关工作制度等情况，</w:t>
            </w:r>
            <w:r>
              <w:rPr>
                <w:rFonts w:ascii="仿宋_GB2312" w:hAnsi="仿宋_GB2312" w:cs="仿宋_GB2312" w:eastAsia="仿宋_GB2312"/>
                <w:sz w:val="21"/>
              </w:rPr>
              <w:t>受到办事群众投诉累计每月三次以上（含三次），采购人有权要求立即辞退被投诉聘用人员，如成交供应商拒不辞退聘用人员，采购人有权终止该合同。</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随时接受采购人的检查和监督，发现问题</w:t>
            </w:r>
            <w:r>
              <w:rPr>
                <w:rFonts w:ascii="仿宋_GB2312" w:hAnsi="仿宋_GB2312" w:cs="仿宋_GB2312" w:eastAsia="仿宋_GB2312"/>
                <w:sz w:val="21"/>
              </w:rPr>
              <w:t>5个工作日之内进行整改。</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成交供应商应遵守国家有关保密的法律法规和行业规定，并对采购人提供的资料负有保密义务。未经采购人书面同意，不得将承接政府服务项目、公民个人等任何信息和资料提供给其他单位和个人。如发生以上情况，采购人有权索赔，成交供应商应赔偿因此给采购人造成的全部损失，但乙方依据相关法定职责对外公开的除外。</w:t>
            </w:r>
          </w:p>
          <w:p>
            <w:pPr>
              <w:pStyle w:val="null3"/>
              <w:jc w:val="both"/>
            </w:pPr>
            <w:r>
              <w:rPr>
                <w:rFonts w:ascii="仿宋_GB2312" w:hAnsi="仿宋_GB2312" w:cs="仿宋_GB2312" w:eastAsia="仿宋_GB2312"/>
                <w:sz w:val="21"/>
                <w:b/>
              </w:rPr>
              <w:t>四、</w:t>
            </w:r>
            <w:r>
              <w:rPr>
                <w:rFonts w:ascii="仿宋_GB2312" w:hAnsi="仿宋_GB2312" w:cs="仿宋_GB2312" w:eastAsia="仿宋_GB2312"/>
                <w:sz w:val="21"/>
                <w:b/>
              </w:rPr>
              <w:t>商务要求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服务期限：自签订合同之日起十二个月，以双方签订合同时约定的起止时间为准。</w:t>
            </w:r>
            <w:r>
              <w:rPr>
                <w:rFonts w:ascii="仿宋_GB2312" w:hAnsi="仿宋_GB2312" w:cs="仿宋_GB2312" w:eastAsia="仿宋_GB2312"/>
                <w:sz w:val="21"/>
              </w:rPr>
              <w:t>合同到期前，经</w:t>
            </w:r>
            <w:r>
              <w:rPr>
                <w:rFonts w:ascii="仿宋_GB2312" w:hAnsi="仿宋_GB2312" w:cs="仿宋_GB2312" w:eastAsia="仿宋_GB2312"/>
                <w:sz w:val="21"/>
              </w:rPr>
              <w:t>采购人</w:t>
            </w:r>
            <w:r>
              <w:rPr>
                <w:rFonts w:ascii="仿宋_GB2312" w:hAnsi="仿宋_GB2312" w:cs="仿宋_GB2312" w:eastAsia="仿宋_GB2312"/>
                <w:sz w:val="21"/>
              </w:rPr>
              <w:t>考核合格后，可</w:t>
            </w:r>
            <w:r>
              <w:rPr>
                <w:rFonts w:ascii="仿宋_GB2312" w:hAnsi="仿宋_GB2312" w:cs="仿宋_GB2312" w:eastAsia="仿宋_GB2312"/>
                <w:sz w:val="21"/>
              </w:rPr>
              <w:t>决定是否</w:t>
            </w:r>
            <w:r>
              <w:rPr>
                <w:rFonts w:ascii="仿宋_GB2312" w:hAnsi="仿宋_GB2312" w:cs="仿宋_GB2312" w:eastAsia="仿宋_GB2312"/>
                <w:sz w:val="21"/>
              </w:rPr>
              <w:t>续签采购合同。</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合同总价一次性包死，不受市场价格变化因素的影响。</w:t>
            </w:r>
          </w:p>
          <w:p>
            <w:pPr>
              <w:pStyle w:val="null3"/>
              <w:jc w:val="both"/>
            </w:pPr>
            <w:r>
              <w:rPr>
                <w:rFonts w:ascii="仿宋_GB2312" w:hAnsi="仿宋_GB2312" w:cs="仿宋_GB2312" w:eastAsia="仿宋_GB2312"/>
                <w:sz w:val="21"/>
                <w:b/>
              </w:rPr>
              <w:t>五、</w:t>
            </w:r>
            <w:r>
              <w:rPr>
                <w:rFonts w:ascii="仿宋_GB2312" w:hAnsi="仿宋_GB2312" w:cs="仿宋_GB2312" w:eastAsia="仿宋_GB2312"/>
                <w:sz w:val="21"/>
                <w:b/>
              </w:rPr>
              <w:t>付款方式</w:t>
            </w:r>
          </w:p>
          <w:p>
            <w:pPr>
              <w:pStyle w:val="null3"/>
              <w:jc w:val="both"/>
            </w:pPr>
            <w:r>
              <w:rPr>
                <w:rFonts w:ascii="仿宋_GB2312" w:hAnsi="仿宋_GB2312" w:cs="仿宋_GB2312" w:eastAsia="仿宋_GB2312"/>
                <w:sz w:val="21"/>
              </w:rPr>
              <w:t>1、服务费每季度支付一次，第一季度服务完成，达到付款条件之日起15日历日，支付合同金额的25%；第二季度服务完成，达到付款条件之日起15日历日，支付合同金额的25%；第三季度服务完成，达到付款条件之日起15日历日，支付合同金额的25%；第四季度服务完成，达到付款条件之日起15日历日，支付合同金额的25%。</w:t>
            </w:r>
          </w:p>
          <w:p>
            <w:pPr>
              <w:pStyle w:val="null3"/>
              <w:jc w:val="both"/>
            </w:pPr>
            <w:r>
              <w:rPr>
                <w:rFonts w:ascii="仿宋_GB2312" w:hAnsi="仿宋_GB2312" w:cs="仿宋_GB2312" w:eastAsia="仿宋_GB2312"/>
                <w:sz w:val="21"/>
              </w:rPr>
              <w:t>2、每月住房运营管理服务费=合同总价款/12个月</w:t>
            </w:r>
          </w:p>
          <w:p>
            <w:pPr>
              <w:pStyle w:val="null3"/>
              <w:jc w:val="both"/>
            </w:pPr>
            <w:r>
              <w:rPr>
                <w:rFonts w:ascii="仿宋_GB2312" w:hAnsi="仿宋_GB2312" w:cs="仿宋_GB2312" w:eastAsia="仿宋_GB2312"/>
                <w:sz w:val="21"/>
              </w:rPr>
              <w:t>3、申请付款时，成交单位须提供正式的税务发票，采购人凭成交单位开具的税务发票进行付款。</w:t>
            </w:r>
          </w:p>
          <w:p>
            <w:pPr>
              <w:pStyle w:val="null3"/>
            </w:pPr>
            <w:r>
              <w:rPr>
                <w:rFonts w:ascii="仿宋_GB2312" w:hAnsi="仿宋_GB2312" w:cs="仿宋_GB2312" w:eastAsia="仿宋_GB2312"/>
                <w:sz w:val="21"/>
              </w:rPr>
              <w:t>4、本合同约定的费用由财政拨付，如因不可抗力、财政原因或政策影响等因素导致款项未能按合同约定时效、比例支付的，甲方不承担违约责任，乙方不得以此为由拒绝履行合同约定的责任和义务。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满足磋商文件及采购人要求。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满足磋商文件及采购人要求。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根据采购人、磋商文件要求及合同约定执行。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自签订合同之日起十二个月，以双方签订合同时约定的起止时间为准。合同到期前，经采购人考核合格后，可决定是否续签采购合同。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(一)乙方应向甲方提供服务过程中的所有资料，以便甲方日后管理和维护。服务期结束后，甲方根据合同要求，进行验收，确认服务标准和质量。验收合格后，填写项目验收合格单作为对项目的最终认可。 (二)验收依据 1、竞争性磋商文件、响应文件、澄清表(函); 2、本合同及附件文本; 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服务费每季度支付一次，第一季度服务完成</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第二季度服务完成</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第三季度服务完成</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第四季度服务完成</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 (二)乙方未按合同要求提供服务或服务质量不能满足合同要求，甲方有权解除合同，除剩余合同款项不予支付外，甲方还有权要求乙方支付本合同总价款5％“即为人民币大写： ，小写： 元”的违约金，如给甲方造成损失的，乙方还应赔偿甲方全部损失。同时，政府采购监管部门有权依据《政府采购法》及相关法律法规对乙方的违法行为进行相应的处罚。 （三）乙方无正当理由提前终止合同，乙方应向甲方支付合同总价5%“即为人民币大写： ，小写：¥ 元”的违约金，且乙方应当向甲方赔偿由此给甲方造成的全部直接及间接经济损失。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成交供应商需提供纸质版响应文件1本。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提供2025年1月至今已缴纳的至少一个月的纳税证明（时间以税款所属日期为准)，依法免税的单位应提供相关证明材料。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提供具有履行本合同所必需的设备和专业技术能力的书面声明及承诺。</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法定代表人授权委托书、被授权人身份证(法定代表人参加开标时,只需提供法定代表人身份证；被授权人参加开标时，须提供开标前三个月内任意一个月的社保证明材料。</w:t>
            </w:r>
          </w:p>
        </w:tc>
        <w:tc>
          <w:tcPr>
            <w:tcW w:type="dxa" w:w="1661"/>
          </w:tcPr>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其他附件.docx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响应文件按磋商文件要求的数量、计量单位、报价货币及签字盖章</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其他附件.docx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服务期达到磋商文件要求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其他附件.docx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评审得分相同的，按照最后报价由低到高的顺序推荐。评审得分且最后报价相同的，按照技术指标优劣顺序推荐。评审得分且最后报价且技术指标得分均相同的，由采购人采取随机抽取的方式确定成交供应商.</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区间分值0-9分 评审标准细化内容： 包括但不限于①项目背景理解;②服务内容理解③项目需求理解； 评审标准量化内容： （1）各部分内容全面详细、阐述条理清晰详尽、符合本项目采购需求得9分； （2）评审标准细化内容每缺少一项扣3分； （3）每有一处内容存在缺陷或不足的扣1分，该项分值扣完为止。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对本项目的重点难点的分析及预防解决措施</w:t>
            </w:r>
          </w:p>
        </w:tc>
        <w:tc>
          <w:tcPr>
            <w:tcW w:type="dxa" w:w="2492"/>
          </w:tcPr>
          <w:p>
            <w:pPr>
              <w:pStyle w:val="null3"/>
            </w:pPr>
            <w:r>
              <w:rPr>
                <w:rFonts w:ascii="仿宋_GB2312" w:hAnsi="仿宋_GB2312" w:cs="仿宋_GB2312" w:eastAsia="仿宋_GB2312"/>
              </w:rPr>
              <w:t>区间分值0-6分 评审标准细化内容： 包括但不限于①针对本项目的重难点分析；②针对重难点分析后的预防及解决措施等内容。 评审标准量化内容： （1）评审标准细化内容全面详细、阐述条理清晰详尽、符合本项目采购需求得6分； (2)评审标准细化内容每缺少一项内容扣3分； (3)每有一处内容存在缺陷或不足的扣1分，该项分值扣完为止。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区间分值0-35分 评审标准细化内容： 包括但不限于①入住管理方案②退出及续租管理方案③房屋使用巡查方案④房屋承接接收方案⑤房屋维修养护方案⑥租金管理方案⑦综合管理方案 评审标准量化内容： （1）各部分内容全面详细、阐述条理清晰详尽、符合本项目采购需求得5分； （2）评审标准细化内容每缺少一项扣5分； （3）每有一处内容存在缺陷或不足的扣1分，该项分值扣完为止。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区间分值：0-6分 评审标准细化内容： 包括但不限于①质量目标；②质量保证措施。 评审标准量化内容： （1）评审标准细化内容全面详细、阐述条理清晰详尽、符合本项目采购需求得6分； (2)评审标准细化内容每缺少一项内容扣3分； (3)每有一处内容存在缺陷或不足的扣1分，该项分值扣完为止。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区间分值：0-9分 评审标准细化内容 1.项目负责人：项目负责人具有本科及以上学历的得3分，大专的得1分，其他不得分。备注：须提供学历证明（不提供本项不得分）。 2.服务团队成员：配备符合采购要求（人员至少14名，其中负责人1人、综合管理部管理岗1人、综合管理部专员2人、会计1人、 出纳1人、租赁管理部管理岗1人、租赁管理部专员3人、保障房管理部管理岗1人、保障房管理部专员3人）的人员，并提供具体成员名单：包括姓名、年龄、分工等，得基本分4分。 在以上人员基础上，供应商每增加1名工作人员（除负责人、会计、出纳之外），加1分，最高加2分。 备注：人员数量少于14名视为无效投标。 评审标准量化内容 备注：提供以上人员的身份证，并加盖供应商公章，不提供不得分。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应急预案及安全保障措施</w:t>
            </w:r>
          </w:p>
        </w:tc>
        <w:tc>
          <w:tcPr>
            <w:tcW w:type="dxa" w:w="2492"/>
          </w:tcPr>
          <w:p>
            <w:pPr>
              <w:pStyle w:val="null3"/>
            </w:pPr>
            <w:r>
              <w:rPr>
                <w:rFonts w:ascii="仿宋_GB2312" w:hAnsi="仿宋_GB2312" w:cs="仿宋_GB2312" w:eastAsia="仿宋_GB2312"/>
              </w:rPr>
              <w:t>区间分值：0-6分 评审标准细化内容： 包含但不限于①可能发生的紧急情况及应急预案；②安全保障措施。 评审标准量化内容： （1）评审标准细化内容全面详细、阐述条理清晰详尽、符合本项目采购需求得6分； (2)评审标准细化内容每缺少一项内容扣3分； (3)每有一处内容存在缺陷或不足的扣1分，该项分值扣完为止。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区间分值：0-6分 评审标准细化内容： 包含但不限于①服务承诺；②保证措施。 评审标准量化内容： （1）评审标准细化内容全面详细、阐述条理清晰详尽、符合本项目采购需求得6分； (2)评审标准细化内容每缺少一项内容扣3分； (3)每有一处内容存在缺陷或不足的扣1分，该项分值扣完为止。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供应商提供2022年1月至今类似项目业绩，每提供一份得4分，最高得8分。 业绩证明（以合同签订时间为准，须附合同或中标通知书的扫描件加盖单位公章）弄虚作假者，取消其成交资格。</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价格分统一采用低价优先法计算，即满足磋商文件要求且磋商价格最低的最终磋商报价为磋商基准价，其价格分为满分。其他供应商的价格分统一按照下列公式计算：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