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版本号：DX2025-11620250213001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2025年度老年人意外伤害保险项目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DX2025-116</w:t>
      </w:r>
      <w:r>
        <w:br/>
      </w:r>
      <w:r>
        <w:br/>
      </w:r>
      <w:r>
        <w:br/>
      </w:r>
    </w:p>
    <w:p>
      <w:pPr>
        <w:pStyle w:val="null3"/>
        <w:jc w:val="center"/>
        <w:outlineLvl w:val="2"/>
      </w:pPr>
      <w:r>
        <w:rPr>
          <w:rFonts w:ascii="仿宋_GB2312" w:hAnsi="仿宋_GB2312" w:cs="仿宋_GB2312" w:eastAsia="仿宋_GB2312"/>
          <w:sz w:val="28"/>
          <w:b/>
        </w:rPr>
        <w:t>西安市长安区民政局</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西安市长安区民政局</w:t>
      </w:r>
      <w:r>
        <w:rPr>
          <w:rFonts w:ascii="仿宋_GB2312" w:hAnsi="仿宋_GB2312" w:cs="仿宋_GB2312" w:eastAsia="仿宋_GB2312"/>
        </w:rPr>
        <w:t>委托，拟对</w:t>
      </w:r>
      <w:r>
        <w:rPr>
          <w:rFonts w:ascii="仿宋_GB2312" w:hAnsi="仿宋_GB2312" w:cs="仿宋_GB2312" w:eastAsia="仿宋_GB2312"/>
        </w:rPr>
        <w:t>2025年度老年人意外伤害保险项目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2025年度老年人意外伤害保险项目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本区“政府补贴人群”2025年12月31日前满60周岁及以上的城乡低保人员、城乡特困人员、享受国家定期抚恤优抚对象中的居家养老的老人、80周岁居家养老的老人购买老年人意外伤害保险；主要功能或目标:进一步开展全区性的老年人意外伤害保险工作是保障老年人基本权益，防范、化解老年人意外伤害风险，减轻老年人及其家庭的经济负担；需满足的要求:意外伤害身故保障、意外残疾保障等医疗理赔费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4、特定资质：具有中国银行保险监督管理委员会颁发的经营保险业务许可证。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西安市长安区西长安街669号区政府东三楼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029-85280024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西安市长安区民政局</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本区“政府补贴人群”2025年12月31日前满60周岁及以上的城乡低保人员、城乡特困人员、享受国家定期抚恤优抚对象中的居家养老的老人、80周岁居家养老的老人购买老年人意外伤害保险；主要功能或目标:进一步开展全区性的老年人意外伤害保险工作是保障老年人基本权益，防范、化解老年人意外伤害风险，减轻老年人及其家庭的经济负担；需满足的要求:意外伤害身故保障、意外残疾保障等医疗理赔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2025年度老年人意外伤害保险项目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标的名称：2025年度老年人意外伤害保险项目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一、政府补贴人群范围</w:t>
            </w:r>
          </w:p>
          <w:p>
            <w:pPr>
              <w:pStyle w:val="null3"/>
              <w:ind w:firstLine="420"/>
              <w:jc w:val="left"/>
            </w:pPr>
            <w:r>
              <w:rPr>
                <w:rFonts w:ascii="仿宋_GB2312" w:hAnsi="仿宋_GB2312" w:cs="仿宋_GB2312" w:eastAsia="仿宋_GB2312"/>
                <w:sz w:val="21"/>
                <w:color w:val="000000"/>
              </w:rPr>
              <w:t>为本区</w:t>
            </w:r>
            <w:r>
              <w:rPr>
                <w:rFonts w:ascii="仿宋_GB2312" w:hAnsi="仿宋_GB2312" w:cs="仿宋_GB2312" w:eastAsia="仿宋_GB2312"/>
                <w:sz w:val="21"/>
                <w:color w:val="000000"/>
              </w:rPr>
              <w:t>“政府补贴人群”202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w:t>
            </w:r>
            <w:r>
              <w:rPr>
                <w:rFonts w:ascii="仿宋_GB2312" w:hAnsi="仿宋_GB2312" w:cs="仿宋_GB2312" w:eastAsia="仿宋_GB2312"/>
                <w:sz w:val="21"/>
                <w:color w:val="000000"/>
              </w:rPr>
              <w:t>月</w:t>
            </w:r>
            <w:r>
              <w:rPr>
                <w:rFonts w:ascii="仿宋_GB2312" w:hAnsi="仿宋_GB2312" w:cs="仿宋_GB2312" w:eastAsia="仿宋_GB2312"/>
                <w:sz w:val="21"/>
                <w:color w:val="000000"/>
              </w:rPr>
              <w:t>31</w:t>
            </w:r>
            <w:r>
              <w:rPr>
                <w:rFonts w:ascii="仿宋_GB2312" w:hAnsi="仿宋_GB2312" w:cs="仿宋_GB2312" w:eastAsia="仿宋_GB2312"/>
                <w:sz w:val="21"/>
                <w:color w:val="000000"/>
              </w:rPr>
              <w:t>日前满</w:t>
            </w:r>
            <w:r>
              <w:rPr>
                <w:rFonts w:ascii="仿宋_GB2312" w:hAnsi="仿宋_GB2312" w:cs="仿宋_GB2312" w:eastAsia="仿宋_GB2312"/>
                <w:sz w:val="21"/>
                <w:color w:val="000000"/>
              </w:rPr>
              <w:t>60周岁及以上的城乡低保人员、城乡特困人员、享受国家定期抚恤优抚对象中的居家养老的老人、80周岁居家养老的老人购买老年人意外伤害保险；主要功能或目标:进一步开展全区性的老年人意外伤害保险工作是保障老年人基本权益，防范、化解老年人意外伤害风险，减轻老年人及其家庭的经济负担；需满足的要求:意外伤害身故保障、意外残疾保障等医疗理赔费用。</w:t>
            </w:r>
          </w:p>
          <w:p>
            <w:pPr>
              <w:pStyle w:val="null3"/>
              <w:jc w:val="left"/>
            </w:pPr>
            <w:r>
              <w:rPr>
                <w:rFonts w:ascii="仿宋_GB2312" w:hAnsi="仿宋_GB2312" w:cs="仿宋_GB2312" w:eastAsia="仿宋_GB2312"/>
                <w:sz w:val="21"/>
                <w:b/>
                <w:color w:val="000000"/>
              </w:rPr>
              <w:t>二、保险费标准、保险期限</w:t>
            </w:r>
          </w:p>
          <w:p>
            <w:pPr>
              <w:pStyle w:val="null3"/>
              <w:ind w:firstLine="420"/>
              <w:jc w:val="left"/>
            </w:pPr>
            <w:r>
              <w:rPr>
                <w:rFonts w:ascii="仿宋_GB2312" w:hAnsi="仿宋_GB2312" w:cs="仿宋_GB2312" w:eastAsia="仿宋_GB2312"/>
                <w:sz w:val="21"/>
                <w:color w:val="000000"/>
              </w:rPr>
              <w:t>1、保险费：20元/年/人，参保人数预估2</w:t>
            </w:r>
            <w:r>
              <w:rPr>
                <w:rFonts w:ascii="仿宋_GB2312" w:hAnsi="仿宋_GB2312" w:cs="仿宋_GB2312" w:eastAsia="仿宋_GB2312"/>
                <w:sz w:val="21"/>
                <w:color w:val="000000"/>
              </w:rPr>
              <w:t>8</w:t>
            </w:r>
            <w:r>
              <w:rPr>
                <w:rFonts w:ascii="仿宋_GB2312" w:hAnsi="仿宋_GB2312" w:cs="仿宋_GB2312" w:eastAsia="仿宋_GB2312"/>
                <w:sz w:val="21"/>
                <w:color w:val="000000"/>
              </w:rPr>
              <w:t>000人。该费用为不可竞争费，最终以实际参保人数为准。</w:t>
            </w:r>
          </w:p>
          <w:p>
            <w:pPr>
              <w:pStyle w:val="null3"/>
              <w:ind w:firstLine="420"/>
              <w:jc w:val="left"/>
            </w:pPr>
            <w:r>
              <w:rPr>
                <w:rFonts w:ascii="仿宋_GB2312" w:hAnsi="仿宋_GB2312" w:cs="仿宋_GB2312" w:eastAsia="仿宋_GB2312"/>
                <w:sz w:val="21"/>
                <w:color w:val="000000"/>
              </w:rPr>
              <w:t>2、保险期限：一年，202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1月1日零时起至202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12月31日二十四时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三、保险范围、保险责任和保险金额</w:t>
            </w:r>
          </w:p>
          <w:tbl>
            <w:tblPr>
              <w:tblBorders>
                <w:top w:val="none" w:color="000000" w:sz="4"/>
                <w:left w:val="none" w:color="000000" w:sz="4"/>
                <w:bottom w:val="none" w:color="000000" w:sz="4"/>
                <w:right w:val="none" w:color="000000" w:sz="4"/>
                <w:insideH w:val="none"/>
                <w:insideV w:val="none"/>
              </w:tblBorders>
            </w:tblPr>
            <w:tblGrid>
              <w:gridCol w:w="703"/>
              <w:gridCol w:w="1151"/>
            </w:tblGrid>
            <w:tr>
              <w:tc>
                <w:tcPr>
                  <w:tcW w:type="dxa" w:w="7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保险范围</w:t>
                  </w:r>
                </w:p>
                <w:p>
                  <w:pPr>
                    <w:pStyle w:val="null3"/>
                    <w:jc w:val="center"/>
                  </w:pPr>
                  <w:r>
                    <w:rPr>
                      <w:rFonts w:ascii="仿宋_GB2312" w:hAnsi="仿宋_GB2312" w:cs="仿宋_GB2312" w:eastAsia="仿宋_GB2312"/>
                      <w:sz w:val="21"/>
                      <w:color w:val="000000"/>
                    </w:rPr>
                    <w:t>(西安市辖区内)</w:t>
                  </w:r>
                </w:p>
              </w:tc>
              <w:tc>
                <w:tcPr>
                  <w:tcW w:type="dxa" w:w="11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保险金额</w:t>
                  </w:r>
                </w:p>
              </w:tc>
            </w:tr>
            <w:tr>
              <w:tc>
                <w:tcPr>
                  <w:tcW w:type="dxa" w:w="7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各类居家养老服务机构内</w:t>
                  </w: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1"/>
                      <w:color w:val="000000"/>
                    </w:rPr>
                    <w:t>意外身故最高赔偿限额</w:t>
                  </w:r>
                  <w:r>
                    <w:rPr>
                      <w:rFonts w:ascii="仿宋_GB2312" w:hAnsi="仿宋_GB2312" w:cs="仿宋_GB2312" w:eastAsia="仿宋_GB2312"/>
                      <w:sz w:val="21"/>
                      <w:color w:val="000000"/>
                    </w:rPr>
                    <w:t>60000 元/人</w:t>
                  </w:r>
                </w:p>
              </w:tc>
            </w:tr>
            <w:tr>
              <w:tc>
                <w:tcPr>
                  <w:tcW w:type="dxa" w:w="703"/>
                  <w:vMerge/>
                  <w:tcBorders>
                    <w:top w:val="none" w:color="000000" w:sz="4"/>
                    <w:left w:val="single" w:color="000000" w:sz="4"/>
                    <w:bottom w:val="single" w:color="000000" w:sz="4"/>
                    <w:right w:val="single" w:color="000000" w:sz="4"/>
                  </w:tcBorders>
                </w:tcP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1"/>
                      <w:color w:val="000000"/>
                    </w:rPr>
                    <w:t>意外残疾最高赔偿限额</w:t>
                  </w:r>
                  <w:r>
                    <w:rPr>
                      <w:rFonts w:ascii="仿宋_GB2312" w:hAnsi="仿宋_GB2312" w:cs="仿宋_GB2312" w:eastAsia="仿宋_GB2312"/>
                      <w:sz w:val="21"/>
                      <w:color w:val="000000"/>
                    </w:rPr>
                    <w:t>60000 元/人</w:t>
                  </w:r>
                </w:p>
              </w:tc>
            </w:tr>
            <w:tr>
              <w:tc>
                <w:tcPr>
                  <w:tcW w:type="dxa" w:w="703"/>
                  <w:vMerge/>
                  <w:tcBorders>
                    <w:top w:val="none" w:color="000000" w:sz="4"/>
                    <w:left w:val="single" w:color="000000" w:sz="4"/>
                    <w:bottom w:val="single" w:color="000000" w:sz="4"/>
                    <w:right w:val="single" w:color="000000" w:sz="4"/>
                  </w:tcBorders>
                </w:tcP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1"/>
                      <w:color w:val="000000"/>
                    </w:rPr>
                    <w:t>意外伤害医疗费最高赔偿限额</w:t>
                  </w:r>
                  <w:r>
                    <w:rPr>
                      <w:rFonts w:ascii="仿宋_GB2312" w:hAnsi="仿宋_GB2312" w:cs="仿宋_GB2312" w:eastAsia="仿宋_GB2312"/>
                      <w:sz w:val="21"/>
                      <w:color w:val="000000"/>
                    </w:rPr>
                    <w:t>10000</w:t>
                  </w:r>
                  <w:r>
                    <w:rPr>
                      <w:rFonts w:ascii="仿宋_GB2312" w:hAnsi="仿宋_GB2312" w:cs="仿宋_GB2312" w:eastAsia="仿宋_GB2312"/>
                      <w:sz w:val="19"/>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w:t>
                  </w:r>
                </w:p>
              </w:tc>
            </w:tr>
            <w:tr>
              <w:tc>
                <w:tcPr>
                  <w:tcW w:type="dxa" w:w="7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both"/>
                  </w:pPr>
                  <w:r>
                    <w:rPr>
                      <w:rFonts w:ascii="仿宋_GB2312" w:hAnsi="仿宋_GB2312" w:cs="仿宋_GB2312" w:eastAsia="仿宋_GB2312"/>
                      <w:sz w:val="21"/>
                      <w:color w:val="000000"/>
                    </w:rPr>
                    <w:t>1.居所、庭院、小区周围广场、道路等日常生活空间；</w:t>
                  </w:r>
                </w:p>
                <w:p>
                  <w:pPr>
                    <w:pStyle w:val="null3"/>
                    <w:ind w:left="15"/>
                    <w:jc w:val="both"/>
                  </w:pPr>
                  <w:r>
                    <w:rPr>
                      <w:rFonts w:ascii="仿宋_GB2312" w:hAnsi="仿宋_GB2312" w:cs="仿宋_GB2312" w:eastAsia="仿宋_GB2312"/>
                      <w:sz w:val="21"/>
                      <w:color w:val="000000"/>
                    </w:rPr>
                    <w:t>2.农贸市场、超市、宾馆、饭店等营业性服务场所及上述列明范围外的其他区域。</w:t>
                  </w: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1"/>
                      <w:color w:val="000000"/>
                    </w:rPr>
                    <w:t>意外身故最高赔偿限额</w:t>
                  </w:r>
                  <w:r>
                    <w:rPr>
                      <w:rFonts w:ascii="仿宋_GB2312" w:hAnsi="仿宋_GB2312" w:cs="仿宋_GB2312" w:eastAsia="仿宋_GB2312"/>
                      <w:sz w:val="21"/>
                      <w:color w:val="000000"/>
                    </w:rPr>
                    <w:t>20000</w:t>
                  </w:r>
                  <w:r>
                    <w:rPr>
                      <w:rFonts w:ascii="仿宋_GB2312" w:hAnsi="仿宋_GB2312" w:cs="仿宋_GB2312" w:eastAsia="仿宋_GB2312"/>
                      <w:sz w:val="19"/>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w:t>
                  </w:r>
                </w:p>
              </w:tc>
            </w:tr>
            <w:tr>
              <w:tc>
                <w:tcPr>
                  <w:tcW w:type="dxa" w:w="703"/>
                  <w:vMerge/>
                  <w:tcBorders>
                    <w:top w:val="none" w:color="000000" w:sz="4"/>
                    <w:left w:val="single" w:color="000000" w:sz="4"/>
                    <w:bottom w:val="single" w:color="000000" w:sz="4"/>
                    <w:right w:val="single" w:color="000000" w:sz="4"/>
                  </w:tcBorders>
                </w:tcP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0"/>
                    <w:jc w:val="both"/>
                  </w:pPr>
                  <w:r>
                    <w:rPr>
                      <w:rFonts w:ascii="仿宋_GB2312" w:hAnsi="仿宋_GB2312" w:cs="仿宋_GB2312" w:eastAsia="仿宋_GB2312"/>
                      <w:sz w:val="21"/>
                      <w:color w:val="000000"/>
                    </w:rPr>
                    <w:t>意外残疾最高赔偿限额</w:t>
                  </w:r>
                  <w:r>
                    <w:rPr>
                      <w:rFonts w:ascii="仿宋_GB2312" w:hAnsi="仿宋_GB2312" w:cs="仿宋_GB2312" w:eastAsia="仿宋_GB2312"/>
                      <w:sz w:val="21"/>
                      <w:color w:val="000000"/>
                    </w:rPr>
                    <w:t>20000</w:t>
                  </w:r>
                  <w:r>
                    <w:rPr>
                      <w:rFonts w:ascii="仿宋_GB2312" w:hAnsi="仿宋_GB2312" w:cs="仿宋_GB2312" w:eastAsia="仿宋_GB2312"/>
                      <w:sz w:val="19"/>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w:t>
                  </w:r>
                </w:p>
              </w:tc>
            </w:tr>
            <w:tr>
              <w:tc>
                <w:tcPr>
                  <w:tcW w:type="dxa" w:w="703"/>
                  <w:vMerge/>
                  <w:tcBorders>
                    <w:top w:val="none" w:color="000000" w:sz="4"/>
                    <w:left w:val="single" w:color="000000" w:sz="4"/>
                    <w:bottom w:val="single" w:color="000000" w:sz="4"/>
                    <w:right w:val="single" w:color="000000" w:sz="4"/>
                  </w:tcBorders>
                </w:tcPr>
                <w:p/>
              </w:tc>
              <w:tc>
                <w:tcPr>
                  <w:tcW w:type="dxa" w:w="11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意外伤害医疗费最高赔偿限额</w:t>
                  </w:r>
                  <w:r>
                    <w:rPr>
                      <w:rFonts w:ascii="仿宋_GB2312" w:hAnsi="仿宋_GB2312" w:cs="仿宋_GB2312" w:eastAsia="仿宋_GB2312"/>
                      <w:sz w:val="21"/>
                      <w:color w:val="000000"/>
                    </w:rPr>
                    <w:t>3000 元/人</w:t>
                  </w:r>
                </w:p>
              </w:tc>
            </w:tr>
            <w:tr>
              <w:tc>
                <w:tcPr>
                  <w:tcW w:type="dxa" w:w="18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185" w:firstLine="14"/>
                  </w:pPr>
                  <w:r>
                    <w:rPr>
                      <w:rFonts w:ascii="仿宋_GB2312" w:hAnsi="仿宋_GB2312" w:cs="仿宋_GB2312" w:eastAsia="仿宋_GB2312"/>
                      <w:sz w:val="21"/>
                      <w:color w:val="000000"/>
                    </w:rPr>
                    <w:t>备注：</w:t>
                  </w:r>
                </w:p>
                <w:p>
                  <w:pPr>
                    <w:pStyle w:val="null3"/>
                    <w:ind w:left="1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意外伤害住院津贴为</w:t>
                  </w:r>
                  <w:r>
                    <w:rPr>
                      <w:rFonts w:ascii="仿宋_GB2312" w:hAnsi="仿宋_GB2312" w:cs="仿宋_GB2312" w:eastAsia="仿宋_GB2312"/>
                      <w:sz w:val="21"/>
                      <w:color w:val="000000"/>
                    </w:rPr>
                    <w:t>30元/天/人/份；全年住院累计</w:t>
                  </w:r>
                  <w:r>
                    <w:rPr>
                      <w:rFonts w:ascii="仿宋_GB2312" w:hAnsi="仿宋_GB2312" w:cs="仿宋_GB2312" w:eastAsia="仿宋_GB2312"/>
                      <w:sz w:val="21"/>
                      <w:color w:val="000000"/>
                    </w:rPr>
                    <w:t>最长赔偿</w:t>
                  </w:r>
                  <w:r>
                    <w:rPr>
                      <w:rFonts w:ascii="仿宋_GB2312" w:hAnsi="仿宋_GB2312" w:cs="仿宋_GB2312" w:eastAsia="仿宋_GB2312"/>
                      <w:sz w:val="21"/>
                      <w:color w:val="000000"/>
                    </w:rPr>
                    <w:t>180天。</w:t>
                  </w:r>
                </w:p>
                <w:p>
                  <w:pPr>
                    <w:pStyle w:val="null3"/>
                    <w:ind w:right="1185"/>
                  </w:pPr>
                  <w:r>
                    <w:rPr>
                      <w:rFonts w:ascii="仿宋_GB2312" w:hAnsi="仿宋_GB2312" w:cs="仿宋_GB2312" w:eastAsia="仿宋_GB2312"/>
                      <w:sz w:val="21"/>
                      <w:color w:val="000000"/>
                    </w:rPr>
                    <w:t>2.意外医疗费免赔额为100元/次。</w:t>
                  </w:r>
                </w:p>
                <w:p>
                  <w:pPr>
                    <w:pStyle w:val="null3"/>
                    <w:ind w:left="15"/>
                    <w:jc w:val="both"/>
                  </w:pPr>
                  <w:r>
                    <w:rPr>
                      <w:rFonts w:ascii="仿宋_GB2312" w:hAnsi="仿宋_GB2312" w:cs="仿宋_GB2312" w:eastAsia="仿宋_GB2312"/>
                      <w:sz w:val="21"/>
                      <w:color w:val="000000"/>
                    </w:rPr>
                    <w:t>3.意外医疗费赔付比例：通过医保先行赔付的意外医疗费，剩余部分在医保赔付的范围内保险人同意按照100%赔付；不通过医保直接向保险人赔付的意外医疗费，在医保赔付的范围内保险人同意按照70%赔付。</w:t>
                  </w:r>
                </w:p>
              </w:tc>
            </w:tr>
          </w:tbl>
          <w:p>
            <w:pPr>
              <w:pStyle w:val="null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服务内容：</w:t>
            </w:r>
            <w:r>
              <w:rPr>
                <w:rFonts w:ascii="仿宋_GB2312" w:hAnsi="仿宋_GB2312" w:cs="仿宋_GB2312" w:eastAsia="仿宋_GB2312"/>
                <w:b/>
              </w:rPr>
              <w:t xml:space="preserve">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1）培训服务</w:t>
            </w:r>
          </w:p>
          <w:p>
            <w:pPr>
              <w:pStyle w:val="null3"/>
              <w:ind w:firstLine="420"/>
              <w:jc w:val="left"/>
            </w:pPr>
            <w:r>
              <w:rPr>
                <w:rFonts w:ascii="仿宋_GB2312" w:hAnsi="仿宋_GB2312" w:cs="仿宋_GB2312" w:eastAsia="仿宋_GB2312"/>
                <w:sz w:val="21"/>
                <w:color w:val="000000"/>
              </w:rPr>
              <w:t>在保险期限内，承保单位负责每年举办至少两次保险知识和风险管理培训，以提供被保险人相关人员的安全意识和防灾防损技能。培训时发生的场地费、住宿费、餐饮费及接待费用由承保单位承担。具体举办时间和地点，由承保单位及投保人共同协商确定。培训计划及内容：</w:t>
            </w:r>
          </w:p>
          <w:tbl>
            <w:tblPr>
              <w:tblBorders>
                <w:top w:val="none" w:color="000000" w:sz="4"/>
                <w:left w:val="none" w:color="000000" w:sz="4"/>
                <w:bottom w:val="none" w:color="000000" w:sz="4"/>
                <w:right w:val="none" w:color="000000" w:sz="4"/>
                <w:insideH w:val="none"/>
                <w:insideV w:val="none"/>
              </w:tblBorders>
            </w:tblPr>
            <w:tblGrid>
              <w:gridCol w:w="466"/>
              <w:gridCol w:w="697"/>
              <w:gridCol w:w="697"/>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年度</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培训内容</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具体时间</w:t>
                  </w:r>
                </w:p>
              </w:tc>
            </w:tr>
            <w:tr>
              <w:tc>
                <w:tcPr>
                  <w:tcW w:type="dxa" w:w="4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年度</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保险条款及合同讲解</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保险条款及合同讲解</w:t>
                  </w:r>
                </w:p>
              </w:tc>
            </w:tr>
            <w:tr>
              <w:tc>
                <w:tcPr>
                  <w:tcW w:type="dxa" w:w="466"/>
                  <w:vMerge/>
                  <w:tcBorders>
                    <w:top w:val="none" w:color="000000" w:sz="4"/>
                    <w:left w:val="single" w:color="000000" w:sz="4"/>
                    <w:bottom w:val="single" w:color="000000" w:sz="4"/>
                    <w:right w:val="single" w:color="000000" w:sz="4"/>
                  </w:tcBorders>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签订保险合同一周之内</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签订保险合同一周之内</w:t>
                  </w:r>
                </w:p>
              </w:tc>
            </w:tr>
            <w:tr>
              <w:tc>
                <w:tcPr>
                  <w:tcW w:type="dxa" w:w="466"/>
                  <w:vMerge/>
                  <w:tcBorders>
                    <w:top w:val="none" w:color="000000" w:sz="4"/>
                    <w:left w:val="single" w:color="000000" w:sz="4"/>
                    <w:bottom w:val="single" w:color="000000" w:sz="4"/>
                    <w:right w:val="single" w:color="000000" w:sz="4"/>
                  </w:tcBorders>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索赔流程及要点介绍</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索赔流程及要点介绍</w:t>
                  </w:r>
                </w:p>
              </w:tc>
            </w:tr>
          </w:tbl>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2）组织实施回访服务</w:t>
            </w:r>
          </w:p>
          <w:p>
            <w:pPr>
              <w:pStyle w:val="null3"/>
              <w:ind w:firstLine="420"/>
              <w:jc w:val="left"/>
            </w:pPr>
            <w:r>
              <w:rPr>
                <w:rFonts w:ascii="仿宋_GB2312" w:hAnsi="仿宋_GB2312" w:cs="仿宋_GB2312" w:eastAsia="仿宋_GB2312"/>
                <w:sz w:val="21"/>
                <w:color w:val="000000"/>
              </w:rPr>
              <w:t>在保单有效期内，由承保单位负责组织项目小组定期以电话沟通、登门回访或慰问走访等多种灵活形式收集客户反馈意见。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3）建立联席会议制度</w:t>
            </w:r>
          </w:p>
          <w:p>
            <w:pPr>
              <w:pStyle w:val="null3"/>
              <w:ind w:firstLine="420"/>
              <w:jc w:val="left"/>
            </w:pPr>
            <w:r>
              <w:rPr>
                <w:rFonts w:ascii="仿宋_GB2312" w:hAnsi="仿宋_GB2312" w:cs="仿宋_GB2312" w:eastAsia="仿宋_GB2312"/>
                <w:sz w:val="21"/>
                <w:color w:val="000000"/>
              </w:rPr>
              <w:t>承保单位负责每半年联合组织一次由承保公司、有关被保险人代表和民政相关领导参加的联席会议</w:t>
            </w:r>
            <w:r>
              <w:rPr>
                <w:rFonts w:ascii="仿宋_GB2312" w:hAnsi="仿宋_GB2312" w:cs="仿宋_GB2312" w:eastAsia="仿宋_GB2312"/>
                <w:sz w:val="21"/>
                <w:color w:val="000000"/>
              </w:rPr>
              <w:t>(费用由承保单位承担)，通报保险承保、理赔与其他服务情况，就有关问题进行沟通与协商。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4）承保理赔报表</w:t>
            </w:r>
          </w:p>
          <w:p>
            <w:pPr>
              <w:pStyle w:val="null3"/>
              <w:ind w:firstLine="420"/>
              <w:jc w:val="left"/>
            </w:pPr>
            <w:r>
              <w:rPr>
                <w:rFonts w:ascii="仿宋_GB2312" w:hAnsi="仿宋_GB2312" w:cs="仿宋_GB2312" w:eastAsia="仿宋_GB2312"/>
                <w:sz w:val="21"/>
                <w:color w:val="000000"/>
              </w:rPr>
              <w:t>承保单位应当在每季度结束后的</w:t>
            </w:r>
            <w:r>
              <w:rPr>
                <w:rFonts w:ascii="仿宋_GB2312" w:hAnsi="仿宋_GB2312" w:cs="仿宋_GB2312" w:eastAsia="仿宋_GB2312"/>
                <w:sz w:val="21"/>
                <w:color w:val="000000"/>
              </w:rPr>
              <w:t>10个工作日内向民政局主管部门提交上季度保险承保和理赔报表(具体报表格式由民政局主管部门与承保单位共同商定)。</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5）重大自然灾害预警机制</w:t>
            </w:r>
          </w:p>
          <w:p>
            <w:pPr>
              <w:pStyle w:val="null3"/>
              <w:ind w:firstLine="420"/>
              <w:jc w:val="left"/>
            </w:pPr>
            <w:r>
              <w:rPr>
                <w:rFonts w:ascii="仿宋_GB2312" w:hAnsi="仿宋_GB2312" w:cs="仿宋_GB2312" w:eastAsia="仿宋_GB2312"/>
                <w:sz w:val="21"/>
                <w:color w:val="000000"/>
              </w:rPr>
              <w:t>承保单位应主动向客户提供具备重大自然灾害预警信息，即在台（暴）风、暴雨、大雾、大雪、高温等恶劣天气来临前</w:t>
            </w:r>
            <w:r>
              <w:rPr>
                <w:rFonts w:ascii="仿宋_GB2312" w:hAnsi="仿宋_GB2312" w:cs="仿宋_GB2312" w:eastAsia="仿宋_GB2312"/>
                <w:sz w:val="21"/>
                <w:color w:val="000000"/>
              </w:rPr>
              <w:t>48小时，自动向VIP客户发送灾害预警短信，提醒客户做好防损工作。对于可能出现的重大气象情况，承保单位客服人员立即通过后援中心的短信服务平台将预警信息第一时间发送到客户手中。短信内容包括气象跟踪实时信息、灾害前的防范措施、灾害中的应急措施和灾后的紧急抢救措施和相关注意事项。在向客户发送重大自然灾害预警短信的同时，承保单位内部将立即启动应急预案，按照应急预案组成应急指挥中心，统一调度协调，组成重大灾害调度小组、现场查勘小组、定损小组、核赔小组、理算小组、后勤保障小组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6）第三方责任事故法律援助</w:t>
            </w:r>
          </w:p>
          <w:p>
            <w:pPr>
              <w:pStyle w:val="null3"/>
              <w:ind w:firstLine="420"/>
              <w:jc w:val="left"/>
            </w:pPr>
            <w:r>
              <w:rPr>
                <w:rFonts w:ascii="仿宋_GB2312" w:hAnsi="仿宋_GB2312" w:cs="仿宋_GB2312" w:eastAsia="仿宋_GB2312"/>
                <w:sz w:val="21"/>
                <w:color w:val="000000"/>
              </w:rPr>
              <w:t>对于因保险事故产生的第三者纠纷，如被保险人有需求，承保单位应在事故发生之初就及时介入调解处理，为被保险人提供处理建议，防止事件扩大，并提供无偿的法律咨询服务。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7）服务保证</w:t>
            </w:r>
          </w:p>
          <w:p>
            <w:pPr>
              <w:pStyle w:val="null3"/>
              <w:ind w:firstLine="420"/>
              <w:jc w:val="left"/>
            </w:pPr>
            <w:r>
              <w:rPr>
                <w:rFonts w:ascii="仿宋_GB2312" w:hAnsi="仿宋_GB2312" w:cs="仿宋_GB2312" w:eastAsia="仿宋_GB2312"/>
                <w:sz w:val="21"/>
                <w:color w:val="000000"/>
              </w:rPr>
              <w:t>①制度保证</w:t>
            </w:r>
          </w:p>
          <w:p>
            <w:pPr>
              <w:pStyle w:val="null3"/>
              <w:ind w:firstLine="420"/>
              <w:jc w:val="left"/>
            </w:pPr>
            <w:r>
              <w:rPr>
                <w:rFonts w:ascii="仿宋_GB2312" w:hAnsi="仿宋_GB2312" w:cs="仿宋_GB2312" w:eastAsia="仿宋_GB2312"/>
                <w:sz w:val="21"/>
                <w:color w:val="000000"/>
              </w:rPr>
              <w:t>一旦中标成为承保人，承保单位将以红头文件或者工作通知书将服务计划和承保条件公布在内部网并邮件通知各分支机构，各分支机构按照文件及市政府关于老年人意外伤害保险项目相关要求与相关单位取得联络，以便开展保险服务工作。</w:t>
            </w:r>
          </w:p>
          <w:p>
            <w:pPr>
              <w:pStyle w:val="null3"/>
              <w:ind w:firstLine="420"/>
              <w:jc w:val="left"/>
            </w:pPr>
            <w:r>
              <w:rPr>
                <w:rFonts w:ascii="仿宋_GB2312" w:hAnsi="仿宋_GB2312" w:cs="仿宋_GB2312" w:eastAsia="仿宋_GB2312"/>
                <w:sz w:val="21"/>
                <w:color w:val="000000"/>
              </w:rPr>
              <w:t>②优秀的再保险保证</w:t>
            </w:r>
          </w:p>
          <w:p>
            <w:pPr>
              <w:pStyle w:val="null3"/>
              <w:ind w:firstLine="420"/>
              <w:jc w:val="left"/>
            </w:pPr>
            <w:r>
              <w:rPr>
                <w:rFonts w:ascii="仿宋_GB2312" w:hAnsi="仿宋_GB2312" w:cs="仿宋_GB2312" w:eastAsia="仿宋_GB2312"/>
                <w:sz w:val="21"/>
                <w:color w:val="000000"/>
              </w:rPr>
              <w:t>承保单位要积极与高标准的再保险公司合作，加强企业实力和承保能力。</w:t>
            </w:r>
          </w:p>
          <w:p>
            <w:pPr>
              <w:pStyle w:val="null3"/>
              <w:ind w:firstLine="420"/>
              <w:jc w:val="left"/>
            </w:pPr>
            <w:r>
              <w:rPr>
                <w:rFonts w:ascii="仿宋_GB2312" w:hAnsi="仿宋_GB2312" w:cs="仿宋_GB2312" w:eastAsia="仿宋_GB2312"/>
                <w:sz w:val="21"/>
                <w:color w:val="000000"/>
              </w:rPr>
              <w:t>③出色的网络服务平台</w:t>
            </w:r>
          </w:p>
          <w:p>
            <w:pPr>
              <w:pStyle w:val="null3"/>
              <w:ind w:firstLine="420"/>
              <w:jc w:val="left"/>
            </w:pPr>
            <w:r>
              <w:rPr>
                <w:rFonts w:ascii="仿宋_GB2312" w:hAnsi="仿宋_GB2312" w:cs="仿宋_GB2312" w:eastAsia="仿宋_GB2312"/>
                <w:sz w:val="21"/>
                <w:color w:val="000000"/>
              </w:rPr>
              <w:t>承保单位应具备功能强大的网络平台，可以为客户提供专业化的产品和服务。</w:t>
            </w:r>
          </w:p>
          <w:p>
            <w:pPr>
              <w:pStyle w:val="null3"/>
              <w:ind w:firstLine="420"/>
              <w:jc w:val="left"/>
            </w:pPr>
            <w:r>
              <w:rPr>
                <w:rFonts w:ascii="仿宋_GB2312" w:hAnsi="仿宋_GB2312" w:cs="仿宋_GB2312" w:eastAsia="仿宋_GB2312"/>
                <w:sz w:val="21"/>
                <w:color w:val="000000"/>
              </w:rPr>
              <w:t>④专业的服务团队</w:t>
            </w:r>
          </w:p>
          <w:p>
            <w:pPr>
              <w:pStyle w:val="null3"/>
              <w:ind w:firstLine="420"/>
              <w:jc w:val="left"/>
            </w:pPr>
            <w:r>
              <w:rPr>
                <w:rFonts w:ascii="仿宋_GB2312" w:hAnsi="仿宋_GB2312" w:cs="仿宋_GB2312" w:eastAsia="仿宋_GB2312"/>
                <w:sz w:val="21"/>
                <w:color w:val="000000"/>
              </w:rPr>
              <w:t>承保单位应设有</w:t>
            </w:r>
            <w:r>
              <w:rPr>
                <w:rFonts w:ascii="仿宋_GB2312" w:hAnsi="仿宋_GB2312" w:cs="仿宋_GB2312" w:eastAsia="仿宋_GB2312"/>
                <w:sz w:val="21"/>
                <w:color w:val="000000"/>
              </w:rPr>
              <w:t>24小时热线客户咨询服务、投诉举报电话，安排专人接听、记录、受理；本着“专业、稳定、热诚、差异”的原则，承保单位应为本项目按照最优等客户服务模式组建专属服务团队，构建与实际服务能力相适应的多级服务体系。</w:t>
            </w:r>
          </w:p>
          <w:p>
            <w:pPr>
              <w:pStyle w:val="null3"/>
              <w:ind w:firstLine="420"/>
              <w:jc w:val="left"/>
            </w:pPr>
            <w:r>
              <w:rPr>
                <w:rFonts w:ascii="仿宋_GB2312" w:hAnsi="仿宋_GB2312" w:cs="仿宋_GB2312" w:eastAsia="仿宋_GB2312"/>
                <w:sz w:val="21"/>
                <w:color w:val="000000"/>
              </w:rPr>
              <w:t>⑤监督和控制</w:t>
            </w:r>
          </w:p>
          <w:p>
            <w:pPr>
              <w:pStyle w:val="null3"/>
              <w:ind w:firstLine="420"/>
              <w:jc w:val="left"/>
            </w:pPr>
            <w:r>
              <w:rPr>
                <w:rFonts w:ascii="仿宋_GB2312" w:hAnsi="仿宋_GB2312" w:cs="仿宋_GB2312" w:eastAsia="仿宋_GB2312"/>
                <w:sz w:val="21"/>
                <w:color w:val="000000"/>
              </w:rPr>
              <w:t>保险服务的承诺如何落实在于对服务的跟踪及监督，承保单位应对各下属机构的保险服务建立跟踪监督机制，具体将从以下几个方面着手：</w:t>
            </w:r>
          </w:p>
          <w:p>
            <w:pPr>
              <w:pStyle w:val="null3"/>
              <w:ind w:firstLine="420"/>
              <w:jc w:val="left"/>
            </w:pPr>
            <w:r>
              <w:rPr>
                <w:rFonts w:ascii="仿宋_GB2312" w:hAnsi="仿宋_GB2312" w:cs="仿宋_GB2312" w:eastAsia="仿宋_GB2312"/>
                <w:sz w:val="21"/>
                <w:color w:val="000000"/>
              </w:rPr>
              <w:t>1.日常跟踪及沟通：每月将与民政局相关部门沟通，了解下属机构的服务评价以及产生的相关问题；</w:t>
            </w:r>
          </w:p>
          <w:p>
            <w:pPr>
              <w:pStyle w:val="null3"/>
              <w:ind w:firstLine="420"/>
              <w:jc w:val="left"/>
            </w:pPr>
            <w:r>
              <w:rPr>
                <w:rFonts w:ascii="仿宋_GB2312" w:hAnsi="仿宋_GB2312" w:cs="仿宋_GB2312" w:eastAsia="仿宋_GB2312"/>
                <w:sz w:val="21"/>
                <w:color w:val="000000"/>
              </w:rPr>
              <w:t>2.每季度向西安市老年人意外伤害保险主管单位发送《保险公司服务质量调查问卷》，了解承保单位及其下属企业的季度工作评价，以便发现问题、改进工作及提高服务水平；</w:t>
            </w:r>
          </w:p>
          <w:p>
            <w:pPr>
              <w:pStyle w:val="null3"/>
              <w:ind w:firstLine="420"/>
              <w:jc w:val="left"/>
            </w:pPr>
            <w:r>
              <w:rPr>
                <w:rFonts w:ascii="仿宋_GB2312" w:hAnsi="仿宋_GB2312" w:cs="仿宋_GB2312" w:eastAsia="仿宋_GB2312"/>
                <w:sz w:val="21"/>
                <w:color w:val="000000"/>
              </w:rPr>
              <w:t>3.对于承保及理赔工作，承保单位通过强大的IT系统进行检测、跟进和监督，依托IT系统能保证提出准确的承保、理赔清单；</w:t>
            </w:r>
          </w:p>
          <w:p>
            <w:pPr>
              <w:pStyle w:val="null3"/>
              <w:ind w:firstLine="420"/>
              <w:jc w:val="left"/>
            </w:pPr>
            <w:r>
              <w:rPr>
                <w:rFonts w:ascii="仿宋_GB2312" w:hAnsi="仿宋_GB2312" w:cs="仿宋_GB2312" w:eastAsia="仿宋_GB2312"/>
                <w:sz w:val="21"/>
                <w:color w:val="000000"/>
              </w:rPr>
              <w:t>4.客户联络电话中心应具备客户投诉渠道，有效对被保险人投诉事件进行统计和反馈；</w:t>
            </w:r>
          </w:p>
          <w:p>
            <w:pPr>
              <w:pStyle w:val="null3"/>
              <w:ind w:firstLine="420"/>
              <w:jc w:val="left"/>
            </w:pPr>
            <w:r>
              <w:rPr>
                <w:rFonts w:ascii="仿宋_GB2312" w:hAnsi="仿宋_GB2312" w:cs="仿宋_GB2312" w:eastAsia="仿宋_GB2312"/>
                <w:sz w:val="21"/>
                <w:color w:val="000000"/>
              </w:rPr>
              <w:t>5.惩罚制度：承保单位有专门部门负责对机构经营、服务进行判定，根据问题严重程度有红、黄、蓝牌处罚制度。</w:t>
            </w:r>
          </w:p>
          <w:p>
            <w:pPr>
              <w:pStyle w:val="null3"/>
              <w:jc w:val="left"/>
            </w:pPr>
            <w:r>
              <w:rPr>
                <w:rFonts w:ascii="仿宋_GB2312" w:hAnsi="仿宋_GB2312" w:cs="仿宋_GB2312" w:eastAsia="仿宋_GB2312"/>
                <w:sz w:val="21"/>
                <w:b/>
                <w:color w:val="000000"/>
              </w:rPr>
              <w:t>五、验收</w:t>
            </w:r>
          </w:p>
          <w:p>
            <w:pPr>
              <w:pStyle w:val="null3"/>
              <w:ind w:firstLine="420"/>
              <w:jc w:val="left"/>
            </w:pPr>
            <w:r>
              <w:rPr>
                <w:rFonts w:ascii="仿宋_GB2312" w:hAnsi="仿宋_GB2312" w:cs="仿宋_GB2312" w:eastAsia="仿宋_GB2312"/>
                <w:sz w:val="21"/>
                <w:color w:val="000000"/>
              </w:rPr>
              <w:t>1、服务商提供的服务最终验收达不到磋商文件要求和磋商响应文件承诺及国家或行业标准，或在使用中发现采购人不能容忍的缺陷等，将视为验收不合格，服务商应在采购人要求的时间内无条件完善或要求赔付采购人损失。</w:t>
            </w:r>
          </w:p>
          <w:p>
            <w:pPr>
              <w:pStyle w:val="null3"/>
              <w:ind w:firstLine="420"/>
              <w:jc w:val="left"/>
            </w:pPr>
            <w:r>
              <w:rPr>
                <w:rFonts w:ascii="仿宋_GB2312" w:hAnsi="仿宋_GB2312" w:cs="仿宋_GB2312" w:eastAsia="仿宋_GB2312"/>
                <w:sz w:val="21"/>
                <w:color w:val="000000"/>
              </w:rPr>
              <w:t>2、若发现服务商有弄虚作假的，及在项目实施阶段故意或随意夸大服务，本项目合同解除，服务商赔偿采购人相应的损失。</w:t>
            </w:r>
          </w:p>
          <w:p>
            <w:pPr>
              <w:pStyle w:val="null3"/>
              <w:ind w:firstLine="420"/>
              <w:jc w:val="left"/>
            </w:pPr>
            <w:r>
              <w:rPr>
                <w:rFonts w:ascii="仿宋_GB2312" w:hAnsi="仿宋_GB2312" w:cs="仿宋_GB2312" w:eastAsia="仿宋_GB2312"/>
                <w:sz w:val="21"/>
                <w:color w:val="000000"/>
              </w:rPr>
              <w:t>3、验收标准：按磋商文件、磋商响应文件等服务指标进行逐项验收，各项指标均应符合验收标准及要求。</w:t>
            </w:r>
          </w:p>
          <w:p>
            <w:pPr>
              <w:pStyle w:val="null3"/>
              <w:ind w:firstLine="420"/>
              <w:jc w:val="left"/>
            </w:pPr>
            <w:r>
              <w:rPr>
                <w:rFonts w:ascii="仿宋_GB2312" w:hAnsi="仿宋_GB2312" w:cs="仿宋_GB2312" w:eastAsia="仿宋_GB2312"/>
                <w:sz w:val="21"/>
                <w:color w:val="000000"/>
              </w:rPr>
              <w:t>4、验收合格后，填写验收单，双方盖章、签字生效。</w:t>
            </w:r>
          </w:p>
          <w:p>
            <w:pPr>
              <w:pStyle w:val="null3"/>
              <w:ind w:firstLine="420"/>
              <w:jc w:val="left"/>
            </w:pPr>
            <w:r>
              <w:rPr>
                <w:rFonts w:ascii="仿宋_GB2312" w:hAnsi="仿宋_GB2312" w:cs="仿宋_GB2312" w:eastAsia="仿宋_GB2312"/>
                <w:sz w:val="21"/>
                <w:color w:val="000000"/>
              </w:rPr>
              <w:t>5、验收依据：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1）合同文本、合同附件、竞争性磋商文件、竞争性磋商响应文件。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2）国家和行业制定的相应的标准和规范。</w:t>
            </w:r>
          </w:p>
          <w:p>
            <w:pPr>
              <w:pStyle w:val="null3"/>
              <w:jc w:val="both"/>
            </w:pPr>
            <w:r>
              <w:rPr>
                <w:rFonts w:ascii="仿宋_GB2312" w:hAnsi="仿宋_GB2312" w:cs="仿宋_GB2312" w:eastAsia="仿宋_GB2312"/>
                <w:sz w:val="21"/>
                <w:b/>
                <w:color w:val="000000"/>
              </w:rPr>
              <w:t>六、所属行业：</w:t>
            </w:r>
            <w:r>
              <w:rPr>
                <w:rFonts w:ascii="仿宋_GB2312" w:hAnsi="仿宋_GB2312" w:cs="仿宋_GB2312" w:eastAsia="仿宋_GB2312"/>
                <w:sz w:val="21"/>
                <w:color w:val="000000"/>
              </w:rPr>
              <w:t>其他未列明行业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保险期间内，按实际统计的符合参保条件的老年人数收取保险费，每份保险费金额为20元人民币，根据2025年财政预算安排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供应商系统录入报价及二次报价填写均为项目预算价格。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具有中国银行保险监督管理委员会颁发的经营保险业务许可证。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一、评审内容 针对本项目提供详细的组织实施方案包括但不限于： ①进度计划安排； ②工作程序和步骤； ③管理和协调方法； ④关键步骤的思路和要点。 ⑤有突发事件的处理机制和应急预案。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上述5项评审内容全部满足评审标准得35分，每有一个评审内容缺项扣7分，每有一项评审内容存在缺陷，扣（0-7）分，扣完为止。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组织实施方案</w:t>
            </w:r>
          </w:p>
        </w:tc>
      </w:tr>
      <w:tr>
        <w:tc>
          <w:tcPr>
            <w:tcW w:type="dxa" w:w="831"/>
            <w:vMerge/>
          </w:tcPr>
          <w:p/>
        </w:tc>
        <w:tc>
          <w:tcPr>
            <w:tcW w:type="dxa" w:w="1661"/>
          </w:tcPr>
          <w:p>
            <w:pPr>
              <w:pStyle w:val="null3"/>
            </w:pPr>
            <w:r>
              <w:rPr>
                <w:rFonts w:ascii="仿宋_GB2312" w:hAnsi="仿宋_GB2312" w:cs="仿宋_GB2312" w:eastAsia="仿宋_GB2312"/>
              </w:rPr>
              <w:t>偿付能力充足率</w:t>
            </w:r>
          </w:p>
        </w:tc>
        <w:tc>
          <w:tcPr>
            <w:tcW w:type="dxa" w:w="2492"/>
          </w:tcPr>
          <w:p>
            <w:pPr>
              <w:pStyle w:val="null3"/>
            </w:pPr>
            <w:r>
              <w:rPr>
                <w:rFonts w:ascii="仿宋_GB2312" w:hAnsi="仿宋_GB2312" w:cs="仿宋_GB2312" w:eastAsia="仿宋_GB2312"/>
              </w:rPr>
              <w:t>供应商应提供2023年度经第三方审计机构出具的偿付能力报告。 核心偿付能力 150%-200%得 5 分， 核心偿付能力100%-149%得 4 分， 核心偿付能力50%-100%得 3 分。 偿付能力低于 50%不得分（未提供经第三方机构审计的年度末偿付能力报告不得分）。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偿付能力充足率</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针对本项目提供详细的服务方案包括但不限于： ①针对“非政府补贴人群”制定具体保障方案和推广方案，制定工作目标，并承诺购买保险人数达到常住老年人口总数的比率等； ②理赔服务，包括但不限于提供上门及其他便捷理赔服务方案； ③协助处理方案，包括但不限于理赔材料有欠缺的协助处理方案，上门收取理赔资料的服务流程。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上述3项评审内容全部满足评审标准得21分，每有一个评审内容缺项扣7分，每有一项评审内容存在缺陷，扣（0-7）分，扣完为止。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针对本项目提供详细的人员配备，方案包括但不限于： ①针对本项目有专业的服务团队，团队人员安排合理； ②有完善的人员管理方案，管理制度等内容。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上述2项评审内容全部满足评审标准得12分，每有一个评审内容缺项扣6分，每有一项评审内容存在缺陷，扣（0-6）分，扣完为止。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 ①供应商针对本项目所提供的服务以及是否有保险服务专员、日常服务回访机制等； ②针对本项目提供合理化建议。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上述2项评审内容全部满足评审标准得12分，每有一个评审内容缺项扣6分，每有一项评审内容存在缺陷，扣（0-6）分，扣完为止。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详见附件：组织实施方案</w:t>
      </w:r>
    </w:p>
    <w:p>
      <w:pPr>
        <w:pStyle w:val="null3"/>
        <w:ind w:firstLine="960"/>
      </w:pPr>
      <w:r>
        <w:rPr>
          <w:rFonts w:ascii="仿宋_GB2312" w:hAnsi="仿宋_GB2312" w:cs="仿宋_GB2312" w:eastAsia="仿宋_GB2312"/>
        </w:rPr>
        <w:t>详见附件：偿付能力充足率</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