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12991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32"/>
          <w:szCs w:val="32"/>
          <w:highlight w:val="none"/>
          <w:lang w:bidi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 w:bidi="zh-CN"/>
        </w:rPr>
        <w:t>组织实施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bidi="zh-CN"/>
        </w:rPr>
        <w:t>方案</w:t>
      </w:r>
    </w:p>
    <w:p w14:paraId="1EC6C78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供应商根据打分项自行编制。</w:t>
      </w:r>
    </w:p>
    <w:p w14:paraId="779FB877"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79A5F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C5CAF4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C5CAF4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7FFF06CD"/>
    <w:rsid w:val="9FF2021B"/>
    <w:rsid w:val="BFFABC54"/>
    <w:rsid w:val="F5FEA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4294410E59221ED14060AD670319C5A3_43</vt:lpwstr>
  </property>
</Properties>
</file>