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7879C">
      <w:pPr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sz w:val="32"/>
          <w:szCs w:val="32"/>
          <w:lang w:bidi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lang w:eastAsia="zh-CN" w:bidi="zh-CN"/>
        </w:rPr>
        <w:t>保障措施</w:t>
      </w:r>
    </w:p>
    <w:bookmarkEnd w:id="0"/>
    <w:p w14:paraId="3D573E6F">
      <w:pPr>
        <w:jc w:val="center"/>
      </w:pPr>
      <w:r>
        <w:rPr>
          <w:rFonts w:hint="eastAsia" w:ascii="仿宋" w:hAnsi="仿宋" w:eastAsia="仿宋" w:cs="仿宋"/>
          <w:sz w:val="24"/>
          <w:szCs w:val="24"/>
        </w:rPr>
        <w:t>供应商根据打分项自行编制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1FF17CBA"/>
    <w:rsid w:val="37AD17E4"/>
    <w:rsid w:val="3BA62369"/>
    <w:rsid w:val="3C395A74"/>
    <w:rsid w:val="525C0D2F"/>
    <w:rsid w:val="58221AA4"/>
    <w:rsid w:val="62F435E7"/>
    <w:rsid w:val="760555E1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2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7A315FE0EB3147CA977634C747F4033C_13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