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版本号：YZZB-2501120250326001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茅坡新城项目人防工程第三方检测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YZZB-25011</w:t>
      </w:r>
      <w:r>
        <w:br/>
      </w:r>
      <w:r>
        <w:br/>
      </w:r>
      <w:r>
        <w:br/>
      </w:r>
    </w:p>
    <w:p>
      <w:pPr>
        <w:pStyle w:val="null3"/>
        <w:jc w:val="center"/>
        <w:outlineLvl w:val="2"/>
      </w:pPr>
      <w:r>
        <w:rPr>
          <w:rFonts w:ascii="仿宋_GB2312" w:hAnsi="仿宋_GB2312" w:cs="仿宋_GB2312" w:eastAsia="仿宋_GB2312"/>
          <w:sz w:val="28"/>
          <w:b/>
        </w:rPr>
        <w:t>西安市长安区郭杜街道办事处</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西安市长安区郭杜街道办事处</w:t>
      </w:r>
      <w:r>
        <w:rPr>
          <w:rFonts w:ascii="仿宋_GB2312" w:hAnsi="仿宋_GB2312" w:cs="仿宋_GB2312" w:eastAsia="仿宋_GB2312"/>
        </w:rPr>
        <w:t>委托，拟对</w:t>
      </w:r>
      <w:r>
        <w:rPr>
          <w:rFonts w:ascii="仿宋_GB2312" w:hAnsi="仿宋_GB2312" w:cs="仿宋_GB2312" w:eastAsia="仿宋_GB2312"/>
        </w:rPr>
        <w:t>茅坡新城项目人防工程第三方检测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茅坡新城项目人防工程第三方检测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茅坡新城项目位于郭杜街道，东临书香路、南临樱花二路、西侧及北侧与雁塔区相临。2011年3月启动拆迁工作，2015年8月完成回迁工作。项目总用地面积131.40亩，共建17幢，3227户。2023年1月6日郭杜街道启动茅坡新城城改项目处遗办证工作，目前已经完成了项目规划现状核实、日照分析、技术方案审查、房屋实测、房屋安全鉴定、房屋权籍调查等工作。2023年12月4日区住建局出具该项目《房屋安全质量检测审定函》时，因缺少茅坡新城人防工程验收资料，无法继续推进该项目处遗工作。2023年12月21日，区发改委和区住建局质监站会同市人防项目验收评估相关专家对茅坡新城人防工程进行现场踏勘，该项目人防工程未达到验收条件，需进行整改。2023年12月28日区城棚改中心联系省人防办相关专家到现场再次踏勘，并对项目现状进行评估，制定了整改方案，待项目完成整改后方可予以验收。区处遗专班将根据该项目整改验收报告，方可出具该项目《房屋安全质量检测审定函》，并完成项目的首登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采购包1（茅坡新城项目人防工程第三方检测）：属于专门面向中小企业采购。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2022年度或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8、企业资质：供应商须具有市场监督管理局颁发的《检验检测机构资质认定证书》；</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西安市长安区郭杜街道办事处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郭杜东街45号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029-85843302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陕西省西安市雁塔区陕西省西安市雁塔区含光路南段1号怡和国际1幢10803室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029-88867482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号、发改办价格［2003］857号规定，依据发改价格[2015]299号文件规定标准计取该项目的招标代理服务费，经双方协商，由中标（成交）单位支付招标代理服务费，发放中标（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西安市长安区郭杜街道办事处</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西安市长安区郭杜街道办事处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西安市长安区郭杜街道办事处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45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地址：陕西省西安市雁塔区含光路南段1号怡和国际1幢10803室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茅坡新城项目位于郭杜街道，东临书香路、南临樱花二路、西侧及北侧与雁塔区相临。2011年3月启动拆迁工作，2015年8月完成回迁工作。项目总用地面积131.40亩，共建17幢，3227户。2023年1月6日郭杜街道启动茅坡新城城改项目处遗办证工作，目前已经完成了项目规划现状核实、日照分析、技术方案审查、房屋实测、房屋安全鉴定、房屋权籍调查等工作。2023年12月4日区住建局出具该项目《房屋安全质量检测审定函》时，因缺少茅坡新城人防工程验收资料，无法继续推进该项目处遗工作。2023年12月21日，区发改委和区住建局质监站会同市人防项目验收评估相关专家对茅坡新城人防工程进行现场踏勘，该项目人防工程未达到验收条件，需进行整改。2023年12月28日区城棚改中心联系省人防办相关专家到现场再次踏勘，并对项目现状进行评估，制定了整改方案，待项目完成整改后方可予以验收。区处遗专班将根据该项目整改验收报告，方可出具该项目《房屋安全质量检测审定函》，并完成项目的首登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532,000.00</w:t>
      </w:r>
    </w:p>
    <w:p>
      <w:pPr>
        <w:pStyle w:val="null3"/>
      </w:pPr>
      <w:r>
        <w:rPr>
          <w:rFonts w:ascii="仿宋_GB2312" w:hAnsi="仿宋_GB2312" w:cs="仿宋_GB2312" w:eastAsia="仿宋_GB2312"/>
        </w:rPr>
        <w:t>采购包最高限价（元）: 532,000.00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茅坡新城项目人防工程第三方检测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标的名称：茅坡新城项目人防工程第三方检测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服务内容及服务要求</w:t>
            </w:r>
          </w:p>
        </w:tc>
        <w:tc>
          <w:tcPr>
            <w:tcW w:type="dxa" w:w="2076"/>
          </w:tcPr>
          <w:p>
            <w:pPr>
              <w:pStyle w:val="null3"/>
              <w:jc w:val="both"/>
            </w:pPr>
            <w:r>
              <w:rPr>
                <w:rFonts w:ascii="仿宋_GB2312" w:hAnsi="仿宋_GB2312" w:cs="仿宋_GB2312" w:eastAsia="仿宋_GB2312"/>
                <w:sz w:val="18"/>
                <w:b/>
              </w:rPr>
              <w:t>一、项目概况</w:t>
            </w:r>
          </w:p>
          <w:p>
            <w:pPr>
              <w:pStyle w:val="null3"/>
              <w:ind w:firstLine="360"/>
              <w:jc w:val="both"/>
            </w:pPr>
            <w:r>
              <w:rPr>
                <w:rFonts w:ascii="仿宋_GB2312" w:hAnsi="仿宋_GB2312" w:cs="仿宋_GB2312" w:eastAsia="仿宋_GB2312"/>
                <w:sz w:val="18"/>
              </w:rPr>
              <w:t>茅坡新城项目位于郭杜街道，东临书香路、南临樱花二路、西侧及北侧与雁塔区相临。</w:t>
            </w:r>
            <w:r>
              <w:rPr>
                <w:rFonts w:ascii="仿宋_GB2312" w:hAnsi="仿宋_GB2312" w:cs="仿宋_GB2312" w:eastAsia="仿宋_GB2312"/>
                <w:sz w:val="18"/>
              </w:rPr>
              <w:t>2011年3月启动拆迁工作，2015年8月完成回迁工作。项目总用地面积131.40亩，共建17幢，3227户。2023年1月6日郭杜街道启动茅坡新城城改项目处遗办证工作，目前已经完成了项目规划现状核实、日照分析、技术方案审查、房屋实测、房屋安全鉴定、房屋权籍调查等工作。2023年12月4日区住建局出具该项目《房屋安全质量检测审定函》时，因缺少茅坡新城人防工程验收资料，无法继续推进该项目处遗工作。2023年12月21日，区发改委和区住建局质监站会同市人防项目验收评估相关专家对茅坡新城人防工程进行现场踏勘，该项目人防工程未达到验收条件，需进行整改。2023年12月28日区城棚改中心联系省人防办相关专家到现场再次踏勘，并对项目现状进行评估，制定了整改方案，待项目完成整改后方可予以验收。区处遗专班将根据该项目整改验收报告，方可出具该项目《房屋安全质量检测审定函》，并完成项目的首登工作</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b/>
              </w:rPr>
              <w:t>二、</w:t>
            </w:r>
            <w:r>
              <w:rPr>
                <w:rFonts w:ascii="仿宋_GB2312" w:hAnsi="仿宋_GB2312" w:cs="仿宋_GB2312" w:eastAsia="仿宋_GB2312"/>
                <w:sz w:val="18"/>
                <w:b/>
              </w:rPr>
              <w:t>商务要求</w:t>
            </w:r>
          </w:p>
          <w:p>
            <w:pPr>
              <w:pStyle w:val="null3"/>
              <w:ind w:firstLine="360"/>
            </w:pPr>
            <w:r>
              <w:rPr>
                <w:rFonts w:ascii="仿宋_GB2312" w:hAnsi="仿宋_GB2312" w:cs="仿宋_GB2312" w:eastAsia="仿宋_GB2312"/>
                <w:sz w:val="18"/>
                <w:color w:val="000000"/>
              </w:rPr>
              <w:t>1.2</w:t>
            </w:r>
            <w:r>
              <w:rPr>
                <w:rFonts w:ascii="仿宋_GB2312" w:hAnsi="仿宋_GB2312" w:cs="仿宋_GB2312" w:eastAsia="仿宋_GB2312"/>
                <w:sz w:val="18"/>
                <w:color w:val="000000"/>
              </w:rPr>
              <w:t>服务范围：按照国家相关法律法规及工程质量检测及验收规范的要求，对本项目人防涉及到强制性检测内容的专业工程进行第三方检测并出具检测报告。</w:t>
            </w:r>
          </w:p>
          <w:p>
            <w:pPr>
              <w:pStyle w:val="null3"/>
              <w:ind w:firstLine="360"/>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shd w:fill="FFFFFF" w:val="clear"/>
              </w:rPr>
              <w:t>项目名称：茅坡新城项目人防工程第三方检测</w:t>
            </w:r>
          </w:p>
          <w:p>
            <w:pPr>
              <w:pStyle w:val="null3"/>
              <w:ind w:firstLine="360"/>
            </w:pPr>
            <w:r>
              <w:rPr>
                <w:rFonts w:ascii="仿宋_GB2312" w:hAnsi="仿宋_GB2312" w:cs="仿宋_GB2312" w:eastAsia="仿宋_GB2312"/>
                <w:sz w:val="18"/>
                <w:color w:val="000000"/>
              </w:rPr>
              <w:t>1.3</w:t>
            </w:r>
            <w:r>
              <w:rPr>
                <w:rFonts w:ascii="仿宋_GB2312" w:hAnsi="仿宋_GB2312" w:cs="仿宋_GB2312" w:eastAsia="仿宋_GB2312"/>
                <w:sz w:val="18"/>
                <w:color w:val="000000"/>
              </w:rPr>
              <w:t>服务期：</w:t>
            </w:r>
            <w:r>
              <w:rPr>
                <w:rFonts w:ascii="仿宋_GB2312" w:hAnsi="仿宋_GB2312" w:cs="仿宋_GB2312" w:eastAsia="仿宋_GB2312"/>
                <w:sz w:val="18"/>
                <w:color w:val="000000"/>
              </w:rPr>
              <w:t>30</w:t>
            </w:r>
            <w:r>
              <w:rPr>
                <w:rFonts w:ascii="仿宋_GB2312" w:hAnsi="仿宋_GB2312" w:cs="仿宋_GB2312" w:eastAsia="仿宋_GB2312"/>
                <w:sz w:val="18"/>
                <w:color w:val="000000"/>
              </w:rPr>
              <w:t>日历天</w:t>
            </w:r>
            <w:r>
              <w:rPr>
                <w:rFonts w:ascii="仿宋_GB2312" w:hAnsi="仿宋_GB2312" w:cs="仿宋_GB2312" w:eastAsia="仿宋_GB2312"/>
                <w:sz w:val="18"/>
                <w:color w:val="000000"/>
              </w:rPr>
              <w:t>。</w:t>
            </w:r>
          </w:p>
          <w:p>
            <w:pPr>
              <w:pStyle w:val="null3"/>
              <w:ind w:firstLine="360"/>
            </w:pPr>
            <w:r>
              <w:rPr>
                <w:rFonts w:ascii="仿宋_GB2312" w:hAnsi="仿宋_GB2312" w:cs="仿宋_GB2312" w:eastAsia="仿宋_GB2312"/>
                <w:sz w:val="18"/>
                <w:color w:val="000000"/>
              </w:rPr>
              <w:t>1.4</w:t>
            </w:r>
            <w:r>
              <w:rPr>
                <w:rFonts w:ascii="仿宋_GB2312" w:hAnsi="仿宋_GB2312" w:cs="仿宋_GB2312" w:eastAsia="仿宋_GB2312"/>
                <w:sz w:val="18"/>
                <w:color w:val="000000"/>
              </w:rPr>
              <w:t>质量</w:t>
            </w:r>
            <w:r>
              <w:rPr>
                <w:rFonts w:ascii="仿宋_GB2312" w:hAnsi="仿宋_GB2312" w:cs="仿宋_GB2312" w:eastAsia="仿宋_GB2312"/>
                <w:sz w:val="18"/>
                <w:color w:val="000000"/>
              </w:rPr>
              <w:t>标准：合格。</w:t>
            </w:r>
          </w:p>
          <w:p>
            <w:pPr>
              <w:pStyle w:val="null3"/>
              <w:jc w:val="both"/>
            </w:pPr>
            <w:r>
              <w:rPr>
                <w:rFonts w:ascii="仿宋_GB2312" w:hAnsi="仿宋_GB2312" w:cs="仿宋_GB2312" w:eastAsia="仿宋_GB2312"/>
                <w:sz w:val="18"/>
                <w:b/>
                <w:color w:val="000000"/>
              </w:rPr>
              <w:t>三、技术要求</w:t>
            </w:r>
          </w:p>
          <w:p>
            <w:pPr>
              <w:pStyle w:val="null3"/>
              <w:ind w:firstLine="360"/>
              <w:jc w:val="left"/>
            </w:pPr>
            <w:r>
              <w:rPr>
                <w:rFonts w:ascii="仿宋_GB2312" w:hAnsi="仿宋_GB2312" w:cs="仿宋_GB2312" w:eastAsia="仿宋_GB2312"/>
                <w:sz w:val="18"/>
              </w:rPr>
              <w:t>符合《中华人民共和国建筑法》、《中华人民共和国消防法》、《建设工程质量管理例》、《建设工程质量管理办法》等法律、行政法规要求；</w:t>
            </w:r>
          </w:p>
          <w:p>
            <w:pPr>
              <w:pStyle w:val="null3"/>
              <w:ind w:firstLine="360"/>
              <w:jc w:val="left"/>
            </w:pPr>
            <w:r>
              <w:rPr>
                <w:rFonts w:ascii="仿宋_GB2312" w:hAnsi="仿宋_GB2312" w:cs="仿宋_GB2312" w:eastAsia="仿宋_GB2312"/>
                <w:sz w:val="18"/>
              </w:rPr>
              <w:t>满足《建设工程施工质量验收统一标准》、《建筑工程检测试验技术管理规范》、《人民防空地下室设计规范》</w:t>
            </w:r>
            <w:r>
              <w:rPr>
                <w:rFonts w:ascii="仿宋_GB2312" w:hAnsi="仿宋_GB2312" w:cs="仿宋_GB2312" w:eastAsia="仿宋_GB2312"/>
                <w:sz w:val="18"/>
              </w:rPr>
              <w:t>(GB 50038-2005)、《人民防空工程质量验收与评价标准》(RFJ01-2015)等规范、标准的要求以及经过审核的设计图纸。</w:t>
            </w:r>
          </w:p>
          <w:p>
            <w:pPr>
              <w:pStyle w:val="null3"/>
              <w:jc w:val="left"/>
            </w:pPr>
            <w:r>
              <w:rPr>
                <w:rFonts w:ascii="仿宋_GB2312" w:hAnsi="仿宋_GB2312" w:cs="仿宋_GB2312" w:eastAsia="仿宋_GB2312"/>
                <w:sz w:val="18"/>
                <w:b/>
                <w:color w:val="000000"/>
              </w:rPr>
              <w:t>四、检测清单</w:t>
            </w:r>
          </w:p>
          <w:tbl>
            <w:tblPr>
              <w:tblBorders>
                <w:top w:val="none" w:color="000000" w:sz="4"/>
                <w:left w:val="none" w:color="000000" w:sz="4"/>
                <w:bottom w:val="none" w:color="000000" w:sz="4"/>
                <w:right w:val="none" w:color="000000" w:sz="4"/>
                <w:insideH w:val="none"/>
                <w:insideV w:val="none"/>
              </w:tblBorders>
            </w:tblPr>
            <w:tblGrid>
              <w:gridCol w:w="488"/>
              <w:gridCol w:w="648"/>
              <w:gridCol w:w="324"/>
              <w:gridCol w:w="392"/>
            </w:tblGrid>
            <w:tr>
              <w:tc>
                <w:tcPr>
                  <w:tcW w:type="dxa" w:w="4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序号</w:t>
                  </w:r>
                </w:p>
              </w:tc>
              <w:tc>
                <w:tcPr>
                  <w:tcW w:type="dxa" w:w="6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检测内容</w:t>
                  </w:r>
                </w:p>
              </w:tc>
              <w:tc>
                <w:tcPr>
                  <w:tcW w:type="dxa" w:w="3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单位</w:t>
                  </w:r>
                </w:p>
              </w:tc>
              <w:tc>
                <w:tcPr>
                  <w:tcW w:type="dxa" w:w="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数量</w:t>
                  </w:r>
                </w:p>
              </w:tc>
            </w:tr>
            <w:tr>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1</w:t>
                  </w:r>
                </w:p>
              </w:tc>
              <w:tc>
                <w:tcPr>
                  <w:tcW w:type="dxa" w:w="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防护设备</w:t>
                  </w:r>
                  <w:r>
                    <w:rPr>
                      <w:rFonts w:ascii="仿宋_GB2312" w:hAnsi="仿宋_GB2312" w:cs="仿宋_GB2312" w:eastAsia="仿宋_GB2312"/>
                      <w:sz w:val="18"/>
                      <w:b/>
                    </w:rPr>
                    <w:t>/通风滤毒系统</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防护单元</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14</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拟投入人员需按甲方要求完成本项目。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项目成果通过甲方审核验收、逐级报备、移交全部资料后一次性支付合同价款 ，达到付款条件起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中标结果公示发布后，所有供应商须向采购代理机构提供一正两副（和上传文件保持一致的）纸质投标（响应）文件用于备案及档案保存。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 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 资格证明文件.docx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2022年度或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供应商须具有市场监督管理局颁发的《检验检测机构资质认定证书》；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对本项目需求的理解</w:t>
            </w:r>
          </w:p>
        </w:tc>
        <w:tc>
          <w:tcPr>
            <w:tcW w:type="dxa" w:w="2492"/>
          </w:tcPr>
          <w:p>
            <w:pPr>
              <w:pStyle w:val="null3"/>
            </w:pPr>
            <w:r>
              <w:rPr>
                <w:rFonts w:ascii="仿宋_GB2312" w:hAnsi="仿宋_GB2312" w:cs="仿宋_GB2312" w:eastAsia="仿宋_GB2312"/>
              </w:rPr>
              <w:t>对本项目需求的理解：内容包括①对本项目需求的理解；②安全防范措施；③对突发情况的应急预案；④与施工项目工作的配合，前述要求的内容均有描述且符合本项目要求的得10分；每缺少一项要求的方案内容扣2.5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检测服务方案：①工作内容②工作方法③技术要求等进行综合评审。 (1) 实施方案科学严谨、内容全面详细、符合技术标准要求，计10分； (2) 实施方案科学合理、内容全面但描述不够详细、符合技术标准要求，计8分； (3) 实施方案合理，内容全面性不够（缺①至③中任意一项）但描述详细、符合技术标准要求，计6分； (4)实施方案合理，内容全面性不够（缺①至③中任意一项），有具体描述，符合技术标准要求，计4分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质量保证措施：供应商制定针对本项目的质量保证方案，内容包括但不限于①质量管理体系②质量保障措施③质量控制手段等。 1.质量保证方案全面详细，目标明确，科学合理、针对性强，计10分； 2.质量保证方案全面但描述不够详细，目标明确，科学合理、针对性强，计7分； 3.质量保证方案全面性不够（缺①至③中任意一项）但描述详细，针对性强，计5分； 4.质量保证方案全面性不够（缺①至③中任意一项）有具体描述，计3分； 5.质量保证方案全面性不够（缺①至③中任意二项及以上）但描述详细，计1分； 6.方案只有标题但内容简略或不具备可操作性或不提供，此项不得分。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进度计划措施</w:t>
            </w:r>
          </w:p>
        </w:tc>
        <w:tc>
          <w:tcPr>
            <w:tcW w:type="dxa" w:w="2492"/>
          </w:tcPr>
          <w:p>
            <w:pPr>
              <w:pStyle w:val="null3"/>
            </w:pPr>
            <w:r>
              <w:rPr>
                <w:rFonts w:ascii="仿宋_GB2312" w:hAnsi="仿宋_GB2312" w:cs="仿宋_GB2312" w:eastAsia="仿宋_GB2312"/>
              </w:rPr>
              <w:t>进度计划措施：内容包含于①进度计划安排②进度计划保证措施等进行综合评审。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重难点分析：提出针对本项目实施过程中的重难点分析，并给出解决方案。 1.重难点内容科学全面、针对性强，解决思路可行性强，计10分； 2.重难点内容全面、针对性强，解决思路可行性强，计7分； 3.重难点内容考虑不全面，解决思路可行，计4分； 4.重难点内容考虑不全面、解决思路不全或不可行，计1分。 5.方案只有标题但内容简略或不具备可操作性或不提供，此项不得分。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资料管理制度</w:t>
            </w:r>
          </w:p>
        </w:tc>
        <w:tc>
          <w:tcPr>
            <w:tcW w:type="dxa" w:w="2492"/>
          </w:tcPr>
          <w:p>
            <w:pPr>
              <w:pStyle w:val="null3"/>
            </w:pPr>
            <w:r>
              <w:rPr>
                <w:rFonts w:ascii="仿宋_GB2312" w:hAnsi="仿宋_GB2312" w:cs="仿宋_GB2312" w:eastAsia="仿宋_GB2312"/>
              </w:rPr>
              <w:t>资料管理制度：评审内容：①资料管理制度②检测过程资料、成果文件等相关资料移交方案。前述要求的内容均有描述且符合本项目要求的得8分；评审标准:每缺少一项要求的方案内容扣4分，扣完为止；每有一项要求的方案内容有一处缺陷的（缺陷是指：内容描述过于简单、条理不清晰、与项目内容不匹配、凭空编造、出常识性错误、不可能实现的夸大情形、存在不适用项目实际情况的情形等）有一处扣1.5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项目部人员配备</w:t>
            </w:r>
          </w:p>
        </w:tc>
        <w:tc>
          <w:tcPr>
            <w:tcW w:type="dxa" w:w="2492"/>
          </w:tcPr>
          <w:p>
            <w:pPr>
              <w:pStyle w:val="null3"/>
            </w:pPr>
            <w:r>
              <w:rPr>
                <w:rFonts w:ascii="仿宋_GB2312" w:hAnsi="仿宋_GB2312" w:cs="仿宋_GB2312" w:eastAsia="仿宋_GB2312"/>
              </w:rPr>
              <w:t>1.供应商根据本项目的实际情况合理配置专业人员：评审内容：①拟投入人员数量 ②人员学历资格、分工等内容。根据供应商的响应情况赋分。前述要求的内容均有描述且符合本项目要求的得4分；评审标准:每缺少一项要求的方案内容扣2分，扣完为止；每有一项要求的方案内容有一处缺陷的（缺陷是指：人员配备明显不能满足项目需求、分工描述过于简单、条理不清晰、与项目内容不匹配、凭空编造、出常识性错误、不可能实现的夸大情形、存在不适用项目实际情况的情形等）有一处扣1.5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项目团队人员中持有工程检测类相关证书或相关专业中级及以上工程师职称的，每提供一个加1分；本项共计8分； 注：根据供应商提供的人员资格证书、职称证书、身份证、毕业证等相关说明资料进行赋分。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拟投入的检测设备</w:t>
            </w:r>
          </w:p>
        </w:tc>
        <w:tc>
          <w:tcPr>
            <w:tcW w:type="dxa" w:w="2492"/>
          </w:tcPr>
          <w:p>
            <w:pPr>
              <w:pStyle w:val="null3"/>
            </w:pPr>
            <w:r>
              <w:rPr>
                <w:rFonts w:ascii="仿宋_GB2312" w:hAnsi="仿宋_GB2312" w:cs="仿宋_GB2312" w:eastAsia="仿宋_GB2312"/>
              </w:rPr>
              <w:t>供应商制定针对本项目的设备配备情况，包括但不限于设备数量、设备种类、设备先进性及可靠性等。1.设备数量能满足采购需求，设备种类齐全且先进可靠，计6分；2.设备数量基本满足采购需求，设备种类基本齐全可靠性一般，计4分；3.设备数量基本能满足采购需求，设备种类有缺失，计2分；4.设备数量不能满足采购需求，计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供应商针对本项目具体情况提出的合理化建议。 1.内容科学可行，内容丰富且有针对性，计5分； 2.内容可行，有针对性，得3分；3.内容简单，得1分；不提供不得分。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针对本项目提供服务承诺，内容包括但不限于①售后服务机构②售后服务保障措施等。 1.承诺内容全面，描述详细，可行性强，计5分； 2.承诺内容全面，描述不够详细，计3分； 3.承诺内容有所欠缺（缺①②项中任意一项），描述粗略，计1分；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供应商提供2021年1月1日至今同类项目业绩，业绩以合同或中标( 成交）通知书为依据，响应文件中附有其证明资料，每提供一个业绩证明计1.5分。满分3分。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报价为评标基准价，其价格分为满分。其他投标供应商的价格分统一按照下列公式计算：投标报价得分=(基准价／投标报价)×价格权值×100；计算分数时四舍五入取小数点后两位；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