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版本号：SXZM-CS-202502020250508001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西门子SC2000超声三年期维保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SXZM-CS-2025020</w:t>
      </w:r>
      <w:r>
        <w:br/>
      </w:r>
      <w:r>
        <w:br/>
      </w:r>
      <w:r>
        <w:br/>
      </w:r>
    </w:p>
    <w:p>
      <w:pPr>
        <w:pStyle w:val="null3"/>
        <w:jc w:val="center"/>
        <w:outlineLvl w:val="2"/>
      </w:pPr>
      <w:r>
        <w:rPr>
          <w:rFonts w:ascii="仿宋_GB2312" w:hAnsi="仿宋_GB2312" w:cs="仿宋_GB2312" w:eastAsia="仿宋_GB2312"/>
          <w:sz w:val="28"/>
          <w:b/>
        </w:rPr>
        <w:t>西安市长安区医院</w:t>
      </w:r>
    </w:p>
    <w:p>
      <w:pPr>
        <w:pStyle w:val="null3"/>
        <w:jc w:val="center"/>
        <w:outlineLvl w:val="2"/>
      </w:pPr>
      <w:r>
        <w:rPr>
          <w:rFonts w:ascii="仿宋_GB2312" w:hAnsi="仿宋_GB2312" w:cs="仿宋_GB2312" w:eastAsia="仿宋_GB2312"/>
          <w:sz w:val="28"/>
          <w:b/>
        </w:rPr>
        <w:t>陕西正明项目管理有限公司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西安市长安区医院</w:t>
      </w:r>
      <w:r>
        <w:rPr>
          <w:rFonts w:ascii="仿宋_GB2312" w:hAnsi="仿宋_GB2312" w:cs="仿宋_GB2312" w:eastAsia="仿宋_GB2312"/>
        </w:rPr>
        <w:t>委托，拟对</w:t>
      </w:r>
      <w:r>
        <w:rPr>
          <w:rFonts w:ascii="仿宋_GB2312" w:hAnsi="仿宋_GB2312" w:cs="仿宋_GB2312" w:eastAsia="仿宋_GB2312"/>
        </w:rPr>
        <w:t>西门子SC2000超声三年期维保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SXZM-CS-2025020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西门子SC2000超声三年期维保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西门子SC2000超声三年期维保</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采购包1（西门子SC2000超声三年期维保）：属于专门面向中小企业采购。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1、营业执照等主体资格证明文件：提供有效存续的企业营业执照（副本）/事业单位法人证书/专业服务机构执业许可证/民办非企业单位登记证书/自然人身份证明； 评审依据：竞争性磋商响应文件中所附证明材料为准</w:t>
      </w:r>
    </w:p>
    <w:p>
      <w:pPr>
        <w:pStyle w:val="null3"/>
      </w:pPr>
      <w:r>
        <w:rPr>
          <w:rFonts w:ascii="仿宋_GB2312" w:hAnsi="仿宋_GB2312" w:cs="仿宋_GB2312" w:eastAsia="仿宋_GB2312"/>
        </w:rPr>
        <w:t>2、财务状况报告：提供具有经审计资质单位出具的2023年度或2024年度的财务审计报告，成立时间至提交竞争性磋商响应文件截止时间不足一年的可提供成立后任意时段的资产负债表；或其开标前六个月内基本存款账户开户银行出具的资信证明。（以上两种形式的资料提供任何一种即可）； 评审依据：竞争性磋商响应文件中所附证明材料为准</w:t>
      </w:r>
    </w:p>
    <w:p>
      <w:pPr>
        <w:pStyle w:val="null3"/>
      </w:pPr>
      <w:r>
        <w:rPr>
          <w:rFonts w:ascii="仿宋_GB2312" w:hAnsi="仿宋_GB2312" w:cs="仿宋_GB2312" w:eastAsia="仿宋_GB2312"/>
        </w:rPr>
        <w:t>3、税收缴纳证明：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 评审依据：竞争性磋商响应文件中所附证明材料为准</w:t>
      </w:r>
    </w:p>
    <w:p>
      <w:pPr>
        <w:pStyle w:val="null3"/>
      </w:pPr>
      <w:r>
        <w:rPr>
          <w:rFonts w:ascii="仿宋_GB2312" w:hAnsi="仿宋_GB2312" w:cs="仿宋_GB2312" w:eastAsia="仿宋_GB2312"/>
        </w:rPr>
        <w:t>4、社保缴纳证明：提供首次磋商响应文件递交截止时间前1年内任意时段的社会保障资金缴存单据或社保机构开具的社会保险参保缴费情况证明，依法不需要缴纳社会保障资金的单位应提供相关证明材料； 评审依据：竞争性磋商响应文件中所附证明材料为准</w:t>
      </w:r>
    </w:p>
    <w:p>
      <w:pPr>
        <w:pStyle w:val="null3"/>
      </w:pPr>
      <w:r>
        <w:rPr>
          <w:rFonts w:ascii="仿宋_GB2312" w:hAnsi="仿宋_GB2312" w:cs="仿宋_GB2312" w:eastAsia="仿宋_GB2312"/>
        </w:rPr>
        <w:t>5、履行合同承诺函：提供具有履行合同所必需的设备和专业技术能力的承诺； 评审依据：竞争性磋商响应文件中所附证明材料为准</w:t>
      </w:r>
    </w:p>
    <w:p>
      <w:pPr>
        <w:pStyle w:val="null3"/>
      </w:pPr>
      <w:r>
        <w:rPr>
          <w:rFonts w:ascii="仿宋_GB2312" w:hAnsi="仿宋_GB2312" w:cs="仿宋_GB2312" w:eastAsia="仿宋_GB2312"/>
        </w:rPr>
        <w:t>6、无重大违法记录书面声明：参加政府采购活动前3年内，在经营活动中没有重大违法记录的书面声明。 评审依据：竞争性磋商响应文件中所附证明材料为准</w:t>
      </w:r>
    </w:p>
    <w:p>
      <w:pPr>
        <w:pStyle w:val="null3"/>
      </w:pPr>
      <w:r>
        <w:rPr>
          <w:rFonts w:ascii="仿宋_GB2312" w:hAnsi="仿宋_GB2312" w:cs="仿宋_GB2312" w:eastAsia="仿宋_GB2312"/>
        </w:rPr>
        <w:t>7、落实政府采购政策需满足的资格要求：本项目专门面向中小企业采购，供应商应为中小微企业或监狱企业或残疾人福利性单位。 评审依据：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 评审依据：竞争性磋商响应文件中所附证明材料</w:t>
      </w:r>
    </w:p>
    <w:p>
      <w:pPr>
        <w:pStyle w:val="null3"/>
      </w:pPr>
      <w:r>
        <w:rPr>
          <w:rFonts w:ascii="仿宋_GB2312" w:hAnsi="仿宋_GB2312" w:cs="仿宋_GB2312" w:eastAsia="仿宋_GB2312"/>
        </w:rPr>
        <w:t>8、法定代表人（或负责人）身份证明/法定代表人（或负责人）授权委托书：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 评审依据：竞争性磋商响应文件所附证明材料原件为准</w:t>
      </w:r>
    </w:p>
    <w:p>
      <w:pPr>
        <w:pStyle w:val="null3"/>
      </w:pPr>
      <w:r>
        <w:rPr>
          <w:rFonts w:ascii="仿宋_GB2312" w:hAnsi="仿宋_GB2312" w:cs="仿宋_GB2312" w:eastAsia="仿宋_GB2312"/>
        </w:rPr>
        <w:t>9、信用记录：供应商不得为“信用中国”网站（www.creditchina.gov.cn）中列入失信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 评审依据：竞争性磋商响应文件中所附证明材料及网查信息为准</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 评审依据：竞争性磋商响应文件中所附证明材料为准</w:t>
      </w:r>
    </w:p>
    <w:p>
      <w:pPr>
        <w:pStyle w:val="null3"/>
      </w:pPr>
      <w:r>
        <w:rPr>
          <w:rFonts w:ascii="仿宋_GB2312" w:hAnsi="仿宋_GB2312" w:cs="仿宋_GB2312" w:eastAsia="仿宋_GB2312"/>
        </w:rPr>
        <w:t>11、供应商书面声明：供应商未为本项目提供整体设计、规范编制或者项目管理、监理、检测等服务的书面声明。 评审依据：竞争性磋商响应文件中所附证明材料为准</w:t>
      </w:r>
    </w:p>
    <w:p>
      <w:pPr>
        <w:pStyle w:val="null3"/>
      </w:pPr>
      <w:r>
        <w:rPr>
          <w:rFonts w:ascii="仿宋_GB2312" w:hAnsi="仿宋_GB2312" w:cs="仿宋_GB2312" w:eastAsia="仿宋_GB2312"/>
        </w:rPr>
        <w:t>12、供应商参与磋商的承诺函：符合竞争性磋商文件要求。 评审依据：竞争性磋商响应文件中所附证明材料为准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西安市长安区郭杜街道文苑中路120号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029-85910601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陕西省西安市雁塔区科技二路71号竹园天寰国际1807室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樊睿、刘晨星、寻宇超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029-88811335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参照国家计委颁发的《招标代理服务收费管理暂行办法》（计价格[2002]1980号）和国家发展和改革委员会办公厅颁发的《关于招标代理服务收费有关问题的通知》（发改办价格[2003]857号）的有关规定标准收取。 招标代理服务费公布方式：代理服务费金额将在成交公告中明确，成交单位在领取成交通知书前，须向采购代理机构一次性支付招标代理服务费。 代理服务费账户信息： 户 名：陕西正明项目管理有限公司 开户行：中国民生银行股份有限公司西安枫林绿洲支行 账 号：170455461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西安市长安区医院</w:t>
      </w:r>
      <w:r>
        <w:rPr>
          <w:rFonts w:ascii="仿宋_GB2312" w:hAnsi="仿宋_GB2312" w:cs="仿宋_GB2312" w:eastAsia="仿宋_GB2312"/>
        </w:rPr>
        <w:t>和</w:t>
      </w:r>
      <w:r>
        <w:rPr>
          <w:rFonts w:ascii="仿宋_GB2312" w:hAnsi="仿宋_GB2312" w:cs="仿宋_GB2312" w:eastAsia="仿宋_GB2312"/>
        </w:rPr>
        <w:t>陕西正明项目管理有限公司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联系人：樊睿、刘晨星、寻宇超</w:t>
      </w:r>
    </w:p>
    <w:p>
      <w:pPr>
        <w:pStyle w:val="null3"/>
      </w:pPr>
      <w:r>
        <w:rPr>
          <w:rFonts w:ascii="仿宋_GB2312" w:hAnsi="仿宋_GB2312" w:cs="仿宋_GB2312" w:eastAsia="仿宋_GB2312"/>
        </w:rPr>
        <w:t>联系电话：029-88811335</w:t>
      </w:r>
    </w:p>
    <w:p>
      <w:pPr>
        <w:pStyle w:val="null3"/>
      </w:pPr>
      <w:r>
        <w:rPr>
          <w:rFonts w:ascii="仿宋_GB2312" w:hAnsi="仿宋_GB2312" w:cs="仿宋_GB2312" w:eastAsia="仿宋_GB2312"/>
        </w:rPr>
        <w:t>地址：陕西省西安市雁塔区科技二路71号竹园天寰国际1807室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西门子SC2000超声三年期维保</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西门子SC2000超声三年期维保</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270,000.00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标的名称：西门子SC2000超声三年期维保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一、服务</w:t>
            </w:r>
            <w:r>
              <w:rPr>
                <w:rFonts w:ascii="仿宋_GB2312" w:hAnsi="仿宋_GB2312" w:cs="仿宋_GB2312" w:eastAsia="仿宋_GB2312"/>
                <w:sz w:val="21"/>
                <w:b/>
              </w:rPr>
              <w:t>对象</w:t>
            </w:r>
            <w:r>
              <w:rPr>
                <w:rFonts w:ascii="仿宋_GB2312" w:hAnsi="仿宋_GB2312" w:cs="仿宋_GB2312" w:eastAsia="仿宋_GB2312"/>
                <w:sz w:val="21"/>
                <w:b/>
              </w:rPr>
              <w:t>:</w:t>
            </w:r>
            <w:r>
              <w:rPr>
                <w:rFonts w:ascii="仿宋_GB2312" w:hAnsi="仿宋_GB2312" w:cs="仿宋_GB2312" w:eastAsia="仿宋_GB2312"/>
                <w:sz w:val="21"/>
              </w:rPr>
              <w:t>西门子SC2000型彩色多普勒超声诊断仪</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保修年限:</w:t>
            </w:r>
            <w:r>
              <w:rPr>
                <w:rFonts w:ascii="仿宋_GB2312" w:hAnsi="仿宋_GB2312" w:cs="仿宋_GB2312" w:eastAsia="仿宋_GB2312"/>
                <w:sz w:val="21"/>
              </w:rPr>
              <w:t>3年。</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保修设备清单:</w:t>
            </w:r>
          </w:p>
          <w:tbl>
            <w:tblPr>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设备名称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规格型号</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生产厂家</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台数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项目内容</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彩超</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西门子 SC2000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西门子</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保修3年</w:t>
                  </w:r>
                </w:p>
              </w:tc>
            </w:tr>
          </w:tbl>
          <w:p>
            <w:pPr>
              <w:pStyle w:val="null3"/>
              <w:jc w:val="both"/>
            </w:pPr>
            <w:r>
              <w:rPr>
                <w:rFonts w:ascii="仿宋_GB2312" w:hAnsi="仿宋_GB2312" w:cs="仿宋_GB2312" w:eastAsia="仿宋_GB2312"/>
                <w:sz w:val="21"/>
                <w:b/>
              </w:rPr>
              <w:t xml:space="preserve">四、服务类型: </w:t>
            </w:r>
            <w:r>
              <w:rPr>
                <w:rFonts w:ascii="仿宋_GB2312" w:hAnsi="仿宋_GB2312" w:cs="仿宋_GB2312" w:eastAsia="仿宋_GB2312"/>
                <w:sz w:val="21"/>
              </w:rPr>
              <w:t>SC200 设备全保服务（包含更换一把全新9L4探头）</w:t>
            </w:r>
          </w:p>
          <w:p>
            <w:pPr>
              <w:pStyle w:val="null3"/>
              <w:jc w:val="both"/>
            </w:pPr>
            <w:r>
              <w:rPr>
                <w:rFonts w:ascii="仿宋_GB2312" w:hAnsi="仿宋_GB2312" w:cs="仿宋_GB2312" w:eastAsia="仿宋_GB2312"/>
                <w:sz w:val="21"/>
                <w:b/>
              </w:rPr>
              <w:t>五、服务内容:</w:t>
            </w:r>
          </w:p>
          <w:p>
            <w:pPr>
              <w:pStyle w:val="null3"/>
              <w:ind w:firstLine="480"/>
              <w:jc w:val="both"/>
            </w:pPr>
            <w:r>
              <w:rPr>
                <w:rFonts w:ascii="仿宋_GB2312" w:hAnsi="仿宋_GB2312" w:cs="仿宋_GB2312" w:eastAsia="仿宋_GB2312"/>
                <w:sz w:val="21"/>
              </w:rPr>
              <w:t>1）整机所有配件保修，设备检查，维修，定期保养，调试校准等；</w:t>
            </w:r>
          </w:p>
          <w:p>
            <w:pPr>
              <w:pStyle w:val="null3"/>
              <w:ind w:firstLine="480"/>
              <w:jc w:val="both"/>
            </w:pPr>
            <w:r>
              <w:rPr>
                <w:rFonts w:ascii="仿宋_GB2312" w:hAnsi="仿宋_GB2312" w:cs="仿宋_GB2312" w:eastAsia="仿宋_GB2312"/>
                <w:sz w:val="21"/>
              </w:rPr>
              <w:t>2）包括更换1把全新9L4探头，提供原厂证明；</w:t>
            </w:r>
          </w:p>
          <w:p>
            <w:pPr>
              <w:pStyle w:val="null3"/>
              <w:ind w:firstLine="480"/>
              <w:jc w:val="both"/>
            </w:pPr>
            <w:r>
              <w:rPr>
                <w:rFonts w:ascii="仿宋_GB2312" w:hAnsi="仿宋_GB2312" w:cs="仿宋_GB2312" w:eastAsia="仿宋_GB2312"/>
                <w:sz w:val="21"/>
              </w:rPr>
              <w:t>3）包括更换机器目前故障备件，备件需为全新原厂备件；</w:t>
            </w:r>
          </w:p>
          <w:p>
            <w:pPr>
              <w:pStyle w:val="null3"/>
              <w:ind w:firstLine="480"/>
              <w:jc w:val="both"/>
            </w:pPr>
            <w:r>
              <w:rPr>
                <w:rFonts w:ascii="仿宋_GB2312" w:hAnsi="仿宋_GB2312" w:cs="仿宋_GB2312" w:eastAsia="仿宋_GB2312"/>
                <w:sz w:val="21"/>
              </w:rPr>
              <w:t>4）一年四次以上常规保养和维护，注明保养维护内容，</w:t>
            </w:r>
          </w:p>
          <w:p>
            <w:pPr>
              <w:pStyle w:val="null3"/>
              <w:ind w:firstLine="480"/>
              <w:jc w:val="both"/>
            </w:pPr>
            <w:r>
              <w:rPr>
                <w:rFonts w:ascii="仿宋_GB2312" w:hAnsi="仿宋_GB2312" w:cs="仿宋_GB2312" w:eastAsia="仿宋_GB2312"/>
                <w:sz w:val="21"/>
              </w:rPr>
              <w:t>5）法定节假日除外提供365天服务，提供在线支持，</w:t>
            </w:r>
          </w:p>
          <w:p>
            <w:pPr>
              <w:pStyle w:val="null3"/>
              <w:ind w:firstLine="480"/>
              <w:jc w:val="both"/>
            </w:pPr>
            <w:r>
              <w:rPr>
                <w:rFonts w:ascii="仿宋_GB2312" w:hAnsi="仿宋_GB2312" w:cs="仿宋_GB2312" w:eastAsia="仿宋_GB2312"/>
                <w:sz w:val="21"/>
              </w:rPr>
              <w:t>6）具有专用维修电话，提供专人负责，接到医院报修电话后，2小时内响应，8小时内到达现场检测。</w:t>
            </w:r>
          </w:p>
          <w:p>
            <w:pPr>
              <w:pStyle w:val="null3"/>
              <w:ind w:firstLine="480"/>
              <w:jc w:val="both"/>
            </w:pPr>
            <w:r>
              <w:rPr>
                <w:rFonts w:ascii="仿宋_GB2312" w:hAnsi="仿宋_GB2312" w:cs="仿宋_GB2312" w:eastAsia="仿宋_GB2312"/>
                <w:sz w:val="21"/>
              </w:rPr>
              <w:t>7）开机率：全年开机率≥95%（全年按365天计，全年停机不超过18天，每超一天顺延3天</w:t>
            </w:r>
          </w:p>
          <w:p>
            <w:pPr>
              <w:pStyle w:val="null3"/>
              <w:ind w:firstLine="480"/>
              <w:jc w:val="both"/>
            </w:pPr>
            <w:r>
              <w:rPr>
                <w:rFonts w:ascii="仿宋_GB2312" w:hAnsi="仿宋_GB2312" w:cs="仿宋_GB2312" w:eastAsia="仿宋_GB2312"/>
                <w:sz w:val="21"/>
              </w:rPr>
              <w:t>8）每年度向院方提交维修保养报告并汇总装订成册</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为了保障售后服务效率和及时性，需提供如下信息:</w:t>
            </w:r>
          </w:p>
          <w:p>
            <w:pPr>
              <w:pStyle w:val="null3"/>
              <w:ind w:firstLine="480"/>
              <w:jc w:val="both"/>
            </w:pPr>
            <w:r>
              <w:rPr>
                <w:rFonts w:ascii="仿宋_GB2312" w:hAnsi="仿宋_GB2312" w:cs="仿宋_GB2312" w:eastAsia="仿宋_GB2312"/>
                <w:sz w:val="21"/>
              </w:rPr>
              <w:t>1.服务企业提供工程机名单，联系方式，签约合同及资历证明;</w:t>
            </w:r>
          </w:p>
          <w:p>
            <w:pPr>
              <w:pStyle w:val="null3"/>
              <w:ind w:firstLine="480"/>
              <w:jc w:val="both"/>
            </w:pPr>
            <w:r>
              <w:rPr>
                <w:rFonts w:ascii="仿宋_GB2312" w:hAnsi="仿宋_GB2312" w:cs="仿宋_GB2312" w:eastAsia="仿宋_GB2312"/>
                <w:sz w:val="21"/>
              </w:rPr>
              <w:t>2.服务企业工程师应具备相应产品维修资质，提供原厂工程师证或原厂培修工程师证;</w:t>
            </w:r>
          </w:p>
          <w:p>
            <w:pPr>
              <w:pStyle w:val="null3"/>
              <w:ind w:firstLine="480"/>
              <w:jc w:val="both"/>
            </w:pPr>
            <w:r>
              <w:rPr>
                <w:rFonts w:ascii="仿宋_GB2312" w:hAnsi="仿宋_GB2312" w:cs="仿宋_GB2312" w:eastAsia="仿宋_GB2312"/>
                <w:sz w:val="21"/>
              </w:rPr>
              <w:t>3.服务企业需要在国内建有备件储备库，提供文件证明;</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为了确保设备设备安全高效运行，所更换备件及探头需为原厂全新合法备件，需提供如下信息:</w:t>
            </w:r>
          </w:p>
          <w:p>
            <w:pPr>
              <w:pStyle w:val="null3"/>
              <w:ind w:firstLine="480"/>
              <w:jc w:val="both"/>
            </w:pPr>
            <w:r>
              <w:rPr>
                <w:rFonts w:ascii="仿宋_GB2312" w:hAnsi="仿宋_GB2312" w:cs="仿宋_GB2312" w:eastAsia="仿宋_GB2312"/>
                <w:sz w:val="21"/>
              </w:rPr>
              <w:t>1.所更换的备件及探头需为原厂全新备件，提供原厂证明文件资料；</w:t>
            </w:r>
          </w:p>
          <w:p>
            <w:pPr>
              <w:pStyle w:val="null3"/>
              <w:ind w:firstLine="480"/>
              <w:jc w:val="both"/>
            </w:pPr>
            <w:r>
              <w:rPr>
                <w:rFonts w:ascii="仿宋_GB2312" w:hAnsi="仿宋_GB2312" w:cs="仿宋_GB2312" w:eastAsia="仿宋_GB2312"/>
                <w:sz w:val="21"/>
              </w:rPr>
              <w:t>2提供所服务产品原厂授权证明文件；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合同签订后一年（根据服务情况可续签，最多不超过2年）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服务期满一年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服务期满两年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服务期满三年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1、合同违约责任按《中华人民共和国政府采购法》中的相关条款执行。 2、供应商未全面履行合同义务或发生违约，采购人有权终止合同，并依法向供应商进行经济索赔。 3、其他违约责任 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提供有效存续的企业营业执照（副本）/事业单位法人证书/专业服务机构执业许可证/民办非企业单位登记证书/自然人身份证明； 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2023年度或2024年度的财务审计报告，成立时间至提交竞争性磋商响应文件截止时间不足一年的可提供成立后任意时段的资产负债表；或其开标前六个月内基本存款账户开户银行出具的资信证明。（以上两种形式的资料提供任何一种即可）； 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 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提供首次磋商响应文件递交截止时间前1年内任意时段的社会保障资金缴存单据或社保机构开具的社会保险参保缴费情况证明，依法不需要缴纳社会保障资金的单位应提供相关证明材料； 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 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 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 评审依据：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 评审依据：竞争性磋商响应文件中所附证明材料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 评审依据：竞争性磋商响应文件所附证明材料原件为准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 评审依据：竞争性磋商响应文件中所附证明材料及网查信息为准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 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供应商书面声明</w:t>
            </w:r>
          </w:p>
        </w:tc>
        <w:tc>
          <w:tcPr>
            <w:tcW w:type="dxa" w:w="3322"/>
          </w:tcPr>
          <w:p>
            <w:pPr>
              <w:pStyle w:val="null3"/>
            </w:pPr>
            <w:r>
              <w:rPr>
                <w:rFonts w:ascii="仿宋_GB2312" w:hAnsi="仿宋_GB2312" w:cs="仿宋_GB2312" w:eastAsia="仿宋_GB2312"/>
              </w:rPr>
              <w:t>供应商未为本项目提供整体设计、规范编制或者项目管理、监理、检测等服务的书面声明。 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供应商参与磋商的承诺函</w:t>
            </w:r>
          </w:p>
        </w:tc>
        <w:tc>
          <w:tcPr>
            <w:tcW w:type="dxa" w:w="3322"/>
          </w:tcPr>
          <w:p>
            <w:pPr>
              <w:pStyle w:val="null3"/>
            </w:pPr>
            <w:r>
              <w:rPr>
                <w:rFonts w:ascii="仿宋_GB2312" w:hAnsi="仿宋_GB2312" w:cs="仿宋_GB2312" w:eastAsia="仿宋_GB2312"/>
              </w:rPr>
              <w:t>符合竞争性磋商文件要求。 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标的清单 符合性证明文件.docx 报价表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w:t>
            </w:r>
          </w:p>
        </w:tc>
        <w:tc>
          <w:tcPr>
            <w:tcW w:type="dxa" w:w="1661"/>
          </w:tcPr>
          <w:p>
            <w:pPr>
              <w:pStyle w:val="null3"/>
            </w:pPr>
            <w:r>
              <w:rPr>
                <w:rFonts w:ascii="仿宋_GB2312" w:hAnsi="仿宋_GB2312" w:cs="仿宋_GB2312" w:eastAsia="仿宋_GB2312"/>
              </w:rPr>
              <w:t>标的清单 符合性证明文件.docx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不得超过采购文件给定的限价</w:t>
            </w:r>
          </w:p>
        </w:tc>
        <w:tc>
          <w:tcPr>
            <w:tcW w:type="dxa" w:w="1661"/>
          </w:tcPr>
          <w:p>
            <w:pPr>
              <w:pStyle w:val="null3"/>
            </w:pPr>
            <w:r>
              <w:rPr>
                <w:rFonts w:ascii="仿宋_GB2312" w:hAnsi="仿宋_GB2312" w:cs="仿宋_GB2312" w:eastAsia="仿宋_GB2312"/>
              </w:rPr>
              <w:t>符合性证明文件.docx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符合性证明文件.docx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符合性证明文件.docx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w:t>
            </w:r>
          </w:p>
        </w:tc>
        <w:tc>
          <w:tcPr>
            <w:tcW w:type="dxa" w:w="1661"/>
          </w:tcPr>
          <w:p>
            <w:pPr>
              <w:pStyle w:val="null3"/>
            </w:pPr>
            <w:r>
              <w:rPr>
                <w:rFonts w:ascii="仿宋_GB2312" w:hAnsi="仿宋_GB2312" w:cs="仿宋_GB2312" w:eastAsia="仿宋_GB2312"/>
              </w:rPr>
              <w:t>响应文件封面 标的清单 符合性证明文件.docx 报价表 响应函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项目的背景与理解</w:t>
            </w:r>
          </w:p>
        </w:tc>
        <w:tc>
          <w:tcPr>
            <w:tcW w:type="dxa" w:w="2492"/>
          </w:tcPr>
          <w:p>
            <w:pPr>
              <w:pStyle w:val="null3"/>
            </w:pPr>
            <w:r>
              <w:rPr>
                <w:rFonts w:ascii="仿宋_GB2312" w:hAnsi="仿宋_GB2312" w:cs="仿宋_GB2312" w:eastAsia="仿宋_GB2312"/>
              </w:rPr>
              <w:t>针对本项目需求理解和总体认识（包括但不限于对项目背景与理解、项目现状调查分析、项目工作目标、服务内容的认识等）方面进行综合打分。 对项目背景、服务目标的认识准确，理解程度高得4分； 对项目背景、服务目标的认识相对准确，理解程度相对到位，得3分； 对项目背景、服务目标的认识相对不足，得2分； 对项目背景、服务目标的认识有欠缺，得1分；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针对本项目的维护保养范围计划清晰、合理，并能及时响应和积极配合业主的有关要求等，综合对比评价： 方案全面、具体、可行、科学合理，得8分； 方案比较全面、具体、可行、科学合理，得7分； 方案相对全面、具体、合理，得6分； 方案基本全面、具体、合理，得5分； 方案简单，描述不够清晰，得4分； 方案存在一定缺漏，得3分； 方案存在较多缺漏，合理性差，得2分； 方案存在重大缺漏，无合理性，得1分；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供应商日常维修保养制度与操作规范及针对本项目制定的相关措施： 方案全面、具体、可行、科学合理，得8分； 方案比较全面、具体、可行、科学合理，得7分； 方案相对全面、具体、合理，得6分； 方案基本全面、具体、合理，得5分； 方案简单，描述不够清晰，得4分； 方案存在一定缺漏，得3分； 方案存在较多缺漏，合理性差，得2分； 方案存在重大缺漏，无合理性，得1分；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应急措施和解决方案</w:t>
            </w:r>
          </w:p>
        </w:tc>
        <w:tc>
          <w:tcPr>
            <w:tcW w:type="dxa" w:w="2492"/>
          </w:tcPr>
          <w:p>
            <w:pPr>
              <w:pStyle w:val="null3"/>
            </w:pPr>
            <w:r>
              <w:rPr>
                <w:rFonts w:ascii="仿宋_GB2312" w:hAnsi="仿宋_GB2312" w:cs="仿宋_GB2312" w:eastAsia="仿宋_GB2312"/>
              </w:rPr>
              <w:t>针对突发事件有具体可行的应急措施和解决方案。 方案全面、具体、可行、科学合理，得8分； 方案比较全面、具体、可行、科学合理，得7分； 方案相对全面、具体、合理，得6分； 方案基本全面、具体、合理，得5分； 方案简单，描述不够清晰，得4分； 方案存在一定缺漏，得3分； 方案存在较多缺漏，合理性差，得2分； 方案存在重大缺漏，无合理性，得1分；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维保流程管理、数据归档等制度</w:t>
            </w:r>
          </w:p>
        </w:tc>
        <w:tc>
          <w:tcPr>
            <w:tcW w:type="dxa" w:w="2492"/>
          </w:tcPr>
          <w:p>
            <w:pPr>
              <w:pStyle w:val="null3"/>
            </w:pPr>
            <w:r>
              <w:rPr>
                <w:rFonts w:ascii="仿宋_GB2312" w:hAnsi="仿宋_GB2312" w:cs="仿宋_GB2312" w:eastAsia="仿宋_GB2312"/>
              </w:rPr>
              <w:t>具有科学、规范的维保流程管理、数据归档等制度 管理制度全面、合理、规范，可操作性强得8分； 管理制度比较合理和规范，可操作性较强得7分； 管理制度相对合理，可操作性相对较强得6分； 管理制度基本合理，有一定的可操作性得5分； 管理制度、可操作性简单得4分； 管理制度简略，不全面，可操作性不强得3分； 管理制度存在缺漏，可操作性差得2分； 管理制度有较大缺漏，无可操作性得1分；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维修工程师</w:t>
            </w:r>
          </w:p>
        </w:tc>
        <w:tc>
          <w:tcPr>
            <w:tcW w:type="dxa" w:w="2492"/>
          </w:tcPr>
          <w:p>
            <w:pPr>
              <w:pStyle w:val="null3"/>
            </w:pPr>
            <w:r>
              <w:rPr>
                <w:rFonts w:ascii="仿宋_GB2312" w:hAnsi="仿宋_GB2312" w:cs="仿宋_GB2312" w:eastAsia="仿宋_GB2312"/>
              </w:rPr>
              <w:t>拟投入本项目配备专业的维修工程师，并提供人员的相关培训证书等证明材料，每提供一名得1分，本项最高得2分。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拟投入本项目人员配备方案</w:t>
            </w:r>
          </w:p>
        </w:tc>
        <w:tc>
          <w:tcPr>
            <w:tcW w:type="dxa" w:w="2492"/>
          </w:tcPr>
          <w:p>
            <w:pPr>
              <w:pStyle w:val="null3"/>
            </w:pPr>
            <w:r>
              <w:rPr>
                <w:rFonts w:ascii="仿宋_GB2312" w:hAnsi="仿宋_GB2312" w:cs="仿宋_GB2312" w:eastAsia="仿宋_GB2312"/>
              </w:rPr>
              <w:t>拟投入人员配备合理，职责明确，拟派人员均有丰富的工作经验得4分； 拟投入人员配备相对合理，拟派人员均有相对丰富的工作经验得3分； 拟投入人员配备不合理，拟派人员经验不足得2分； 拟投入人员配备有缺漏，拟派人员经验不足得1分；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拟投入本项目维保设备</w:t>
            </w:r>
          </w:p>
        </w:tc>
        <w:tc>
          <w:tcPr>
            <w:tcW w:type="dxa" w:w="2492"/>
          </w:tcPr>
          <w:p>
            <w:pPr>
              <w:pStyle w:val="null3"/>
            </w:pPr>
            <w:r>
              <w:rPr>
                <w:rFonts w:ascii="仿宋_GB2312" w:hAnsi="仿宋_GB2312" w:cs="仿宋_GB2312" w:eastAsia="仿宋_GB2312"/>
              </w:rPr>
              <w:t>拟投入本项目维保设备、维保物料能满足日常和紧急维保需求 设备、物料品种丰富，能够满足日常维保需求，得3分； 设备、物料品种较多，能满足常见的维保需求，得2分； 设备、物料品种单一，得1分。 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对本项目情况提出难点、重点进行分析并提出控制措施， 分析内容准确，控制措施合理得7分； 分析内容比较准确，控制措施比较合理得6分； 分析内容相对准确，控制措施相对较合理得5分； 分析内容基本准确，控制措施基本合理得4分； 分析内容和控制措施简陋，指导性不足得3分； 分析内容有缺漏，指导性差得2分； 分析内容有重大缺漏，无指导性得1分； 未提供相关内容不得分。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紧急维修服务方案</w:t>
            </w:r>
          </w:p>
        </w:tc>
        <w:tc>
          <w:tcPr>
            <w:tcW w:type="dxa" w:w="2492"/>
          </w:tcPr>
          <w:p>
            <w:pPr>
              <w:pStyle w:val="null3"/>
            </w:pPr>
            <w:r>
              <w:rPr>
                <w:rFonts w:ascii="仿宋_GB2312" w:hAnsi="仿宋_GB2312" w:cs="仿宋_GB2312" w:eastAsia="仿宋_GB2312"/>
              </w:rPr>
              <w:t>提供7*24小时紧急维修服务方案、承诺及保障措施 措施详细完整、可行性、针对性强，能高质量的确保项目服务质量，得6分； 保障措施比较完整，可行性及针对性较强以保证项目质量，得5分； 保障措施相对完整，有一定的可行性及针对性以保证项目质量，得4分； 保障措施基本完整、可行，得3分； 保障措施简略、可行性存在不足，得2分； 保障措施存在漏洞、合理性、可行性差，得1分；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结合本项目实际情况，有详细完整的服务质量保证措施。 措施详细完整、可行性、针对性强，能高质量的确保项目服务质量，得6分； 保障措施比较完整，可行性及针对性较强以保证项目质量，得5分； 保障措施相对完整，有一定的可行性及针对性以保证项目质量，得4分； 保障措施基本完整、可行，得3分； 保障措施简略、可行性存在不足，得2分； 保障措施存在漏洞、合理性、可行性差，得1分；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供应商具有完善的培训方案，对服务人员进行专业化培训，有完善的服务业务培训管理制度，提供较好的理论与实战相结合的培训内容。 方案全面、合理、规范，可操作性强得8分； 方案比较全面、合理、规范，可操作性较强得7分； 方案相对全面、合理，可操作性相对较强得6分； 方案基本合理，有一定的可操作性得5分； 方案简单、笼统，有可操作性得4分； 方案比较简略，可操作性略有欠缺得3分； 方案有缺漏，可操作性差得2分； 方案有重大缺漏，无可操作性得1分；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2022年以来承接过类似项目的业绩证明（类似项目业绩是指：医疗设备类维保）以合同复印件为准；每提供一个得2分，满分10分。弄虚作假者取消其成交资格。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针对本项目实际需求，提供提出有利于采购人降低成本、提高服务质量的合理化建议。 建议内容科学可行，有针对性且内容丰富，得4分； 建议内容较为可行，针对性较强，得3分； 建议内容基本可行，具有一定的针对性，得2分； 建议内容存在漏洞，不具备针对性，得1分；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具有科学、合理、可行的保密措施，保证采购人的相关信息不被泄漏， 保密措施完整、合理，可操作性强得4 分； 保密措施比较完整，可操作性较强得3分； 保密措施基本完整，有一定可操作性得2分； 保密措施不够完整，可操作性差得1分；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1、经初审合格的竞争性磋商响应文件，其磋商报价为有效磋商报价。 2、满足竞争性磋商文件实质性要求且最终报价最低的供应商的价格为磋商基准价，其价格分为满分10分。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详见附件：符合性证明文件.docx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