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版本号：JC2025-CG0501(16)20250427001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长安区2024年洪涝灾害财政补助资金河道水毁修复工程施工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JC2025-CG0501(16)</w:t>
      </w:r>
      <w:r>
        <w:br/>
      </w:r>
      <w:r>
        <w:br/>
      </w:r>
      <w:r>
        <w:br/>
      </w:r>
    </w:p>
    <w:p>
      <w:pPr>
        <w:pStyle w:val="null3"/>
        <w:jc w:val="center"/>
        <w:outlineLvl w:val="2"/>
      </w:pPr>
      <w:r>
        <w:rPr>
          <w:rFonts w:ascii="仿宋_GB2312" w:hAnsi="仿宋_GB2312" w:cs="仿宋_GB2312" w:eastAsia="仿宋_GB2312"/>
          <w:sz w:val="28"/>
          <w:b/>
        </w:rPr>
        <w:t>西安市长安区河道管理中心</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西安市长安区河道管理中心</w:t>
      </w:r>
      <w:r>
        <w:rPr>
          <w:rFonts w:ascii="仿宋_GB2312" w:hAnsi="仿宋_GB2312" w:cs="仿宋_GB2312" w:eastAsia="仿宋_GB2312"/>
        </w:rPr>
        <w:t>委托，拟对</w:t>
      </w:r>
      <w:r>
        <w:rPr>
          <w:rFonts w:ascii="仿宋_GB2312" w:hAnsi="仿宋_GB2312" w:cs="仿宋_GB2312" w:eastAsia="仿宋_GB2312"/>
        </w:rPr>
        <w:t>长安区2024年洪涝灾害财政补助资金河道水毁修复工程施工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JC2025-CG0501(16)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长安区2024年洪涝灾害财政补助资金河道水毁修复工程施工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长安区小峪河和滈河2024年发生的2处河道水毁进行修复，主要包括：①对小峪河环山路桥上游940m-998m处河道左岸(河中桥上游)进行水毁修复，设计新建挡墙56.08m，并在挡墙基础上下游摆放格宾石笼进行防护；②在滈河王曲四队桥下游滚水坝后新建25.8m长消能防冲设施，包括2m长跌坎、13.8m长消力池及10m长海漫，防护两侧与现状浆砌石挡墙衔接（具体详见工程量清单及图纸所含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采购包1（长安区2024年洪涝灾害财政补助资金河道水毁修复工程施工）：属于专门面向中小企业采购。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pPr>
        <w:pStyle w:val="null3"/>
      </w:pPr>
      <w:r>
        <w:rPr>
          <w:rFonts w:ascii="仿宋_GB2312" w:hAnsi="仿宋_GB2312" w:cs="仿宋_GB2312" w:eastAsia="仿宋_GB2312"/>
        </w:rPr>
        <w:t>3、有依法缴纳税收的良好记录：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参加政府采购活动前三年内，在经营活动中没有重大违法记录的书面声明（成立时间至磋商截止时间不足三年的可提供成立至今的书面声明）；</w:t>
      </w:r>
    </w:p>
    <w:p>
      <w:pPr>
        <w:pStyle w:val="null3"/>
      </w:pPr>
      <w:r>
        <w:rPr>
          <w:rFonts w:ascii="仿宋_GB2312" w:hAnsi="仿宋_GB2312" w:cs="仿宋_GB2312" w:eastAsia="仿宋_GB2312"/>
        </w:rPr>
        <w:t>6、供应商具有履行合同所必需的设备和专业技术能力：提供具有履行本合同所必需的设备和专业技术能力的书面承诺；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8、供应商资质：具备水利水电工程施工总承包三级及以上资质，且具备建设行政主管部门颁发的安全生产许可证；</w:t>
      </w:r>
    </w:p>
    <w:p>
      <w:pPr>
        <w:pStyle w:val="null3"/>
      </w:pPr>
      <w:r>
        <w:rPr>
          <w:rFonts w:ascii="仿宋_GB2312" w:hAnsi="仿宋_GB2312" w:cs="仿宋_GB2312" w:eastAsia="仿宋_GB2312"/>
        </w:rPr>
        <w:t>9、拟派项目经理：具备水利水电工程专业二级及以上注册建造师证书及水行政主管部门颁发的安全生产考核合格证书，在本单位注册且无在建工程（提供无在建项目承诺书）；</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西安市长安区河道管理中心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西安市长安区建材街与润安路十字东北角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贾少楠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029-85291983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魏朝刚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采购包1：759,300.00元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由成交供应商在领取《成交通知书》时，一次性向招标代理机构支付。2.收费依据：以成交价作为基数，按照原《国家计委关于印发&lt;招标代理服务收费管理暂行办法&gt;的通知》（计价格[2002]1980号）、《国家发展改革委办公厅关于招标代理服务收费有关问题的通知》（发改价格[2003]857号）文件的通知标准收取。 缴纳账户信息： 开户名称：陕西景诚项目管理有限公司； 开户行：西安银行股份有限公司长安西路支行； 账号：515011580000149177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西安市长安区河道管理中心</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西安市长安区河道管理中心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西安市长安区河道管理中心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联系人：魏朝刚</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759,300.00</w:t>
      </w:r>
    </w:p>
    <w:p>
      <w:pPr>
        <w:pStyle w:val="null3"/>
      </w:pPr>
      <w:r>
        <w:rPr>
          <w:rFonts w:ascii="仿宋_GB2312" w:hAnsi="仿宋_GB2312" w:cs="仿宋_GB2312" w:eastAsia="仿宋_GB2312"/>
        </w:rPr>
        <w:t>采购包最高限价（元）: 753,942.00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长安区2024年洪涝灾害财政补助资金河道水毁修复工程施工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759,300.00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标的名称：长安区2024年洪涝灾害财政补助资金河道水毁修复工程施工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项目概况及采购内容：</w:t>
            </w:r>
            <w:r>
              <w:rPr>
                <w:rFonts w:ascii="仿宋_GB2312" w:hAnsi="仿宋_GB2312" w:cs="仿宋_GB2312" w:eastAsia="仿宋_GB2312"/>
                <w:sz w:val="20"/>
              </w:rPr>
              <w:t>对长安区小峪河和滈河</w:t>
            </w:r>
            <w:r>
              <w:rPr>
                <w:rFonts w:ascii="仿宋_GB2312" w:hAnsi="仿宋_GB2312" w:cs="仿宋_GB2312" w:eastAsia="仿宋_GB2312"/>
                <w:sz w:val="20"/>
              </w:rPr>
              <w:t>2024年发生的2处河道水毁进行修复，主要包括:①对小峪河环山路桥上游940m-998m处河道左岸(河中桥上游)进行水毁修复，设计新建挡墙56.08m，并在挡墙基础上下游摆放格宾石笼进行防护；②在滈河王曲四队桥下游滚水坝后新建25.8m长消能防冲设施，包括2m长跌坎、13.8m长消力池及10m长海漫，防护两侧与现状浆砌石挡墙衔接（具体详见工程量清单及图纸所含全部内容）。</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、工程量清单编制依据</w:t>
            </w:r>
          </w:p>
          <w:p>
            <w:pPr>
              <w:pStyle w:val="null3"/>
              <w:jc w:val="both"/>
            </w:pPr>
            <w:r>
              <w:rPr>
                <w:rFonts w:ascii="仿宋_GB2312" w:hAnsi="仿宋_GB2312" w:cs="仿宋_GB2312" w:eastAsia="仿宋_GB2312"/>
                <w:sz w:val="20"/>
              </w:rPr>
              <w:t>1.《长安区2024年洪涝灾害财政补助资金河道水毁修复工程施工实施方案》、《长安区2024年洪涝灾害财政补助资金河道水毁修复工程施工图纸及概算书》；</w:t>
            </w:r>
          </w:p>
          <w:p>
            <w:pPr>
              <w:pStyle w:val="null3"/>
              <w:jc w:val="both"/>
            </w:pPr>
            <w:r>
              <w:rPr>
                <w:rFonts w:ascii="仿宋_GB2312" w:hAnsi="仿宋_GB2312" w:cs="仿宋_GB2312" w:eastAsia="仿宋_GB2312"/>
                <w:sz w:val="20"/>
              </w:rPr>
              <w:t>2.清单编制依据《水利工程工程量清单计价规范》（GB50501-2007）及其配套文件中工程量计算办法；</w:t>
            </w:r>
          </w:p>
          <w:p>
            <w:pPr>
              <w:pStyle w:val="null3"/>
              <w:jc w:val="both"/>
            </w:pPr>
            <w:r>
              <w:rPr>
                <w:rFonts w:ascii="仿宋_GB2312" w:hAnsi="仿宋_GB2312" w:cs="仿宋_GB2312" w:eastAsia="仿宋_GB2312"/>
                <w:sz w:val="20"/>
              </w:rPr>
              <w:t>3.依据正常的施工组织设计及施工方法；</w:t>
            </w:r>
          </w:p>
          <w:p>
            <w:pPr>
              <w:pStyle w:val="null3"/>
              <w:jc w:val="both"/>
            </w:pPr>
            <w:r>
              <w:rPr>
                <w:rFonts w:ascii="仿宋_GB2312" w:hAnsi="仿宋_GB2312" w:cs="仿宋_GB2312" w:eastAsia="仿宋_GB2312"/>
                <w:sz w:val="20"/>
              </w:rPr>
              <w:t>4.施工图设计中采用的相关施工规范及验收规范。</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、其他说明</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本工程采用天宇</w:t>
            </w:r>
            <w:r>
              <w:rPr>
                <w:rFonts w:ascii="仿宋_GB2312" w:hAnsi="仿宋_GB2312" w:cs="仿宋_GB2312" w:eastAsia="仿宋_GB2312"/>
                <w:sz w:val="20"/>
              </w:rPr>
              <w:t>e算水利水电工程造价软件（版本号V1.2.2（202401-02））编制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其他施工临时工程（包含扬尘污染治理费），按</w:t>
            </w:r>
            <w:r>
              <w:rPr>
                <w:rFonts w:ascii="仿宋_GB2312" w:hAnsi="仿宋_GB2312" w:cs="仿宋_GB2312" w:eastAsia="仿宋_GB2312"/>
                <w:sz w:val="20"/>
              </w:rPr>
              <w:t>“建筑和安装费及施工临时工程（不包含其他施工临时工程）”之和的2.6%计取</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工程保险费按</w:t>
            </w:r>
            <w:r>
              <w:rPr>
                <w:rFonts w:ascii="仿宋_GB2312" w:hAnsi="仿宋_GB2312" w:cs="仿宋_GB2312" w:eastAsia="仿宋_GB2312"/>
                <w:sz w:val="20"/>
              </w:rPr>
              <w:t>0.5%计取。</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详见附件</w:t>
            </w:r>
            <w:r>
              <w:rPr>
                <w:rFonts w:ascii="仿宋_GB2312" w:hAnsi="仿宋_GB2312" w:cs="仿宋_GB2312" w:eastAsia="仿宋_GB2312"/>
                <w:sz w:val="20"/>
              </w:rPr>
              <w:t>“工程量清单”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签订之日起90日历天。2.质量标准：达到国家现行施工验收规范“合格”标准。3.缺陷责任期（工程质量保修期）：工程竣工验收合格后1年，成交人承诺的质保时间超过国家标准要求的，按其承诺时间质保。成交人承诺的质保期起始时间为终验合格之日。4.付款方式：（1）根据工程进度，支付至合同价款的80%时暂停支付，项目完工后，供应商提供结算资料，由采购人向审计部门报送竣工决算资料进行决算审计，审计结束后，采购人按照决算审定价，支付剩余款项；（2）每期付款时供应商提供等额发票申请款项。5.运输、进度：成交单位负责施工过程中材料的运输、施工及其他伴随服务。6.技术规范及要求：执行国家、省、市现行的相关规定及标准文件。7.竣工验收：（1）竣工须达到的标准和具备工程验收的条件；（2）工程验收规范、标准，验收的组织实施；（3）工程验收合格须移交的工程资料和竣工图纸等。8.验收依据：（1）合同文本及合同补充文件（条款）；（2）磋商文件及成交单位的磋商响应文件；（3）国家、省、市现行的施工验收标准及相关规定文件。（4）国家相关法律法规。 备注：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参加政府采购活动前三年内，在经营活动中没有重大违法记录的书面声明（成立时间至磋商截止时间不足三年的可提供成立至今的书面声明）；</w:t>
            </w:r>
          </w:p>
        </w:tc>
        <w:tc>
          <w:tcPr>
            <w:tcW w:type="dxa" w:w="1661"/>
          </w:tcPr>
          <w:p>
            <w:pPr>
              <w:pStyle w:val="null3"/>
            </w:pPr>
            <w:r>
              <w:rPr>
                <w:rFonts w:ascii="仿宋_GB2312" w:hAnsi="仿宋_GB2312" w:cs="仿宋_GB2312" w:eastAsia="仿宋_GB2312"/>
              </w:rPr>
              <w:t>供应商承诺书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具备水利水电工程施工总承包三级及以上资质，且具备建设行政主管部门颁发的安全生产许可证；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具备水利水电工程专业二级及以上注册建造师证书及水行政主管部门颁发的安全生产考核合格证书，在本单位注册且无在建工程（提供无在建项目承诺书）；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 技术响应方案 中小企业声明函 技术服务合同条款及其他商务要求应答表 强制优先采购产品承诺函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技术响应方案 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针对本项目内容提出适用于本项目的施工方案，方案包括：①水毁修复方案； ②施工场地管理方案； ③场地人员管理方案。 二、评审标准 1.完整性：方案全面，对评审内容中的各项要求有详细描述； 2.针对性：方案紧扣项目实际情况，内容科学合理； 3.可实施性：切合本项目实际情况，提出步骤清晰、合理的方案。 三、赋分标准（满分9分） ①水毁修复方案：每完全满足一个评审标准得1分；针对评审标准存在有不合理处的得0.5分；内容与本项目无关或未提供的得0分。 ②施工场地管理方案：每完全满足一个评审标准得1分；针对评审标准存在有不合理处的得0.5分；内容与本项目无关或未提供的得0分。 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针对本项目内容提出适用于本项目的确保工期的技术组织措施。 二、评审标准 1.完整性：措施全面，对评审内容中的各项要求有详细描述； 2.针对性：措施紧扣项目实际情况，内容科学合理； 3.可实施性：切合本项目实际情况，提出步骤清晰、合理的措施。 三、赋分标准（满分3分） 确保工期的技术组织措施：每完全满足一个评审标准得1分；针对评审标准存在有不合理处的得0.5分；内容与本项目无关或未提供的得0分。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针对本项目内容提出适用于本项目的确保工程质量的技术组织措施。 二、评审标准 1.完整性：措施全面，对评审内容中的各项要求有详细描述； 2.针对性：措施紧扣项目实际情况，内容科学合理； 3.可实施性：切合本项目实际情况，提出步骤清晰、合理的措施。 三、赋分标准（满分3分） 确保工程质量的技术组织措施：每完全满足一个评审标准得1分；针对评审标准存在有不合理处的得0.5分；内容与本项目无关或未提供的得0分。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针对本项目内容提出适用于本项目的应急预案，包括：①人员事故应急预案；②突发暴雨、大风、大雾等特殊天气的应急预案。 二、评审标准 1.完整性：方案全面，对评审内容中的各项要求有详细描述； 2.针对性：方案紧扣项目实际情况，内容科学合理； 3.可实施性：切合本项目实际情况，提出步骤清晰、合理的方案。 三、赋分标准（满分6分） ①人员事故应急预案：每完全满足一个评审标准得1分；针对评审标准存在有不合理处的得0.5分；内容与本项目无关或未提供的得0分。 ②突发暴雨、大风、大雾等特殊天气的应急预案：每完全满足一个评审标准得1分；针对评审标准存在有不合理处的得0.5分；内容与本项目无关或未提供的得0分。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 针对本项目内容提出适用于本项目的确保文明施工的技术组织措施。 二、评审标准 1.完整性：措施全面，对评审内容中的各项要求有详细描述； 2.针对性：措施紧扣项目实际情况，内容科学合理； 3.可实施性：切合本项目实际情况，提出步骤清晰、合理的措施。 三、赋分标准（满分3分） 确保文明施工的技术组织措施：每完全满足一个评审标准得1分； 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针对本项目内容提出适用于本项目的确保安全生产技术组织措施，包括：①施工人员安全培训措施；②设施、设备安全检查措施；③安全施工措施。 二、评审标准 1.完整性：措施全面，对评审内容中的各项要求有详细描述； 2.针对性：措施紧扣项目实际情况，内容科学合理； 3.可实施性：切合本项目实际情况，提出步骤清晰、合理的措施。 三、赋分标准（满分9分） ①施工人员安全培训措施：每完全满足一个评审标准得1分；针对评审标准存在有不合理处的得0.5分；内容与本项目无关或未提供的得0分。 ②设施、设备安全检查措施：每完全满足一个评审标准得1分；针对评审标准存在有不合理处的得0.5分；内容与本项目无关或未提供的得0分。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一、评审内容 针对本项目内容提出适用于本项目的施工组织和项目管理机构，方案包括： ①施工组织方案； ②项目管理机构组织方案。 二、评审标准 1.完整性：方案全面，对评审内容中的各项要求有详细描述； 2.针对性：方案紧扣项目实际情况，内容科学合理； 3.可实施性：切合本项目实际情况，提出步骤清晰、合理的方案。 三、赋分标准（满分6分） ①施工组织：每完全满足一个评审标准得1分；针对评审标准存在有不合理处的得0.5分；内容与本项目无关或未提供的得0分。 ②项目管理机构：每完全满足一个评审标准得1分；针对评审标准存在有不合理处的得0.5分；内容与本项目无关或未提供的得0分。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劳动力计划安排方案</w:t>
            </w:r>
          </w:p>
        </w:tc>
        <w:tc>
          <w:tcPr>
            <w:tcW w:type="dxa" w:w="2492"/>
          </w:tcPr>
          <w:p>
            <w:pPr>
              <w:pStyle w:val="null3"/>
            </w:pPr>
            <w:r>
              <w:rPr>
                <w:rFonts w:ascii="仿宋_GB2312" w:hAnsi="仿宋_GB2312" w:cs="仿宋_GB2312" w:eastAsia="仿宋_GB2312"/>
              </w:rPr>
              <w:t>一、评审内容 针对本项目内容提出适用于本项目的劳动力计划安排方案。 二、评审标准 1.完整性：方案全面，对评审内容中的各项要求有详细描述； 2.针对性：方案紧扣项目实际情况，内容科学合理； 3.可实施性：切合本项目实际情况，提出步骤清晰、合理的方案。 三、赋分标准（满分3分） 劳动力安排计划方案：每完全满足一个评审标准得1分； 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针对本项目内容提出适用于本项目的施工机械配备和材料投入计划，包括：①施工机械配备方案；②材料投入计划。 二、评审标准 1.完整性：方案全面，对评审内容中的各项要求有详细描述； 2.针对性：方案紧扣项目实际情况，内容科学合理； 3.可实施性：切合本项目实际情况，提出步骤清晰、合理的方案。 三、赋分标准（满分6分） ①施工机械配备方案：每完全满足一个评审标准得1分；针对评审标准存在有不合理处的得0.5分；内容与本项目无关或未提供的得0分。 ②材料投入计划：每完全满足一个评审标准得1分；针对评审标准存在有不合理处的得0.5分； 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确保环境保护的组织措施</w:t>
            </w:r>
          </w:p>
        </w:tc>
        <w:tc>
          <w:tcPr>
            <w:tcW w:type="dxa" w:w="2492"/>
          </w:tcPr>
          <w:p>
            <w:pPr>
              <w:pStyle w:val="null3"/>
            </w:pPr>
            <w:r>
              <w:rPr>
                <w:rFonts w:ascii="仿宋_GB2312" w:hAnsi="仿宋_GB2312" w:cs="仿宋_GB2312" w:eastAsia="仿宋_GB2312"/>
              </w:rPr>
              <w:t>一、评审内容 针对本项目内容提出适用于本项目的确保环境保护的组织措施，包括：①治污减霾措施；②施工周围及施工场地的环境保护措施。 二、评审标准 1.完整性：措施全面，对评审内容中的各项要求有详细描述； 2.针对性：措施紧扣项目实际情况，内容科学合理；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 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一、评审内容 针对本项目内容提出适用于本项目的新技术、新产品、新工艺、新材料应用方案。 二、评审标准 1.针对性：方案紧扣项目实际情况，内容科学合理； 2.可实施性：切合本项目实际情况，提出步骤清晰、合理的应用方案。 三、赋分标准（满分1分） 新技术、新产品、新工艺、新材料的应用方案：完全满足评审标准得1分；针对评审标准存在有不合理处的得0.5分； 内容与本项目无关或未提供的得0分。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针对本项目内容提出适用于本项目的相关承诺，包括： ①对实施过程中与采购人的沟通、协调等内容做出承诺； ②供应商对施工过程产生的垃圾按规定倾倒、不随意抛洒等内容做出承诺； ③供应商对工期时限、工程质量及进度等内容作出承诺。 二、评审标准 1.完整性：方案必须全面，对评审内容中的各项要求有详细描述； 2.针对性：方案紧扣项目实际情况，内容科学合理； 3.可实施性：切合本项目实际情况，提出步骤清晰、合理的方案。 三、赋分标准（满分9分） ①对实施过程中与采购人的沟通、协调等内容做出承诺：每完全满足一个评审标准得1分；针对评审标准存在有不合理处的得0.5分；内容与本项目无关或未提供的得0分。 ②供应商对施工过程产生的垃圾按规定倾倒、不随意抛洒等内容做出承诺：每完全满足一个评审标准得1分；针对评审标准存在有不合理处的得0.5分；内容与本项目无关或未提供的得0分。 ③供应商对工期时限、工程质量及进度等内容作出承诺：每完全满足一个评审标准得1分；针对评审标准存在有不合理处的得0.5分； 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供应商2022年01月01日以来承担过类似项目业绩（以合同或中标通知书为准)；每提供一项业绩得2分，最高得6分。须提供合同或中标通知书复印件或扫描件并加盖公章，不提供不计分。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 3.其他供应商的价格分统一按照下列公式计算：磋商报价得分=（磋商基准价/最后磋商报价）×30%×100。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