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版本号：ZCTH2025-01-001.1B220250428001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引镇物流园地块二（中铁项目）围墙圈建项目(三次)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ZCTH2025-01-001.1B2</w:t>
      </w:r>
      <w:r>
        <w:br/>
      </w:r>
      <w:r>
        <w:br/>
      </w:r>
      <w:r>
        <w:br/>
      </w:r>
    </w:p>
    <w:p>
      <w:pPr>
        <w:pStyle w:val="null3"/>
        <w:jc w:val="center"/>
        <w:outlineLvl w:val="2"/>
      </w:pPr>
      <w:r>
        <w:rPr>
          <w:rFonts w:ascii="仿宋_GB2312" w:hAnsi="仿宋_GB2312" w:cs="仿宋_GB2312" w:eastAsia="仿宋_GB2312"/>
          <w:sz w:val="28"/>
          <w:b/>
        </w:rPr>
        <w:t>西安市长安区引镇街道办事处</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西安市长安区引镇街道办事处</w:t>
      </w:r>
      <w:r>
        <w:rPr>
          <w:rFonts w:ascii="仿宋_GB2312" w:hAnsi="仿宋_GB2312" w:cs="仿宋_GB2312" w:eastAsia="仿宋_GB2312"/>
        </w:rPr>
        <w:t>委托，拟对</w:t>
      </w:r>
      <w:r>
        <w:rPr>
          <w:rFonts w:ascii="仿宋_GB2312" w:hAnsi="仿宋_GB2312" w:cs="仿宋_GB2312" w:eastAsia="仿宋_GB2312"/>
        </w:rPr>
        <w:t>引镇物流园地块二（中铁项目）围墙圈建项目(三次)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ZCTH2025-01-001.1B2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引镇物流园地块二（中铁项目）围墙圈建项目(三次)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引镇物流园地块二（中铁项目）围墙圈建项目（三次）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采购包1（引镇物流园地块二（中铁项目）围墙圈建项目（三次））：属于专门面向中小企业采购。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 信用代码营业执照（事业单位提供法人证书， 自然人提供身份证）</w:t>
      </w:r>
    </w:p>
    <w:p>
      <w:pPr>
        <w:pStyle w:val="null3"/>
      </w:pPr>
      <w:r>
        <w:rPr>
          <w:rFonts w:ascii="仿宋_GB2312" w:hAnsi="仿宋_GB2312" w:cs="仿宋_GB2312" w:eastAsia="仿宋_GB2312"/>
        </w:rPr>
        <w:t>2、项目经理：拟派项目经理具备建筑工程专业贰级（含贰级）以上注册建造师资质，具备有效的安全生产考核合格证书（安全生产考核 B 类证书），且无在建工程（提供承诺书)</w:t>
      </w:r>
    </w:p>
    <w:p>
      <w:pPr>
        <w:pStyle w:val="null3"/>
      </w:pPr>
      <w:r>
        <w:rPr>
          <w:rFonts w:ascii="仿宋_GB2312" w:hAnsi="仿宋_GB2312" w:cs="仿宋_GB2312" w:eastAsia="仿宋_GB2312"/>
        </w:rPr>
        <w:t>3、资质证书；安全生产许可证：供应商需具备建筑工程施工总承包叁级（含叁级）以上资质;具备有效的安全生产许可证</w:t>
      </w:r>
    </w:p>
    <w:p>
      <w:pPr>
        <w:pStyle w:val="null3"/>
      </w:pPr>
      <w:r>
        <w:rPr>
          <w:rFonts w:ascii="仿宋_GB2312" w:hAnsi="仿宋_GB2312" w:cs="仿宋_GB2312" w:eastAsia="仿宋_GB2312"/>
        </w:rPr>
        <w:t>4、法定代表人授权书及委托代理人身份证：法定代表人授权书及委托代理人身份证（法定代表人直接投标只须提交其身份证原件）</w:t>
      </w:r>
    </w:p>
    <w:p>
      <w:pPr>
        <w:pStyle w:val="null3"/>
      </w:pPr>
      <w:r>
        <w:rPr>
          <w:rFonts w:ascii="仿宋_GB2312" w:hAnsi="仿宋_GB2312" w:cs="仿宋_GB2312" w:eastAsia="仿宋_GB2312"/>
        </w:rPr>
        <w:t>5、财务状况报告：须提供2023—2024年任意一年度经审计的财务会计报告（包括审计报告、资产负债表、利润表、现金流量表、所有者权益变动表及其附注，成立时间至提交响应文件截止时间不足一年的可提供成立后任意时段的资产负债表），或基本账户开户银行出具的资信证明，或信用担保机构出具的投标担保函（以上三种形式的资料提供任何一种即可）</w:t>
      </w:r>
    </w:p>
    <w:p>
      <w:pPr>
        <w:pStyle w:val="null3"/>
      </w:pPr>
      <w:r>
        <w:rPr>
          <w:rFonts w:ascii="仿宋_GB2312" w:hAnsi="仿宋_GB2312" w:cs="仿宋_GB2312" w:eastAsia="仿宋_GB2312"/>
        </w:rPr>
        <w:t>6、书面声明：参加政府采购活动前3年内在经营活动中没有重大违法纪录和具有履行合同所必需的设备、专业技术能力的书面声明</w:t>
      </w:r>
    </w:p>
    <w:p>
      <w:pPr>
        <w:pStyle w:val="null3"/>
      </w:pPr>
      <w:r>
        <w:rPr>
          <w:rFonts w:ascii="仿宋_GB2312" w:hAnsi="仿宋_GB2312" w:cs="仿宋_GB2312" w:eastAsia="仿宋_GB2312"/>
        </w:rPr>
        <w:t>7、社会保障资金缴纳证明：提供递交响应文件截止之日前六个月内已缴存至少一个月社会保障资金缴纳的有效证明，依法不需要缴纳社会保障资金的单位应提供相关证明材料。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8、税收缴纳凭证：提供递交响应文件截止之日前六个月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9、其他：供应商基本信息及项目经理的基本信息在“陕西省住房和城乡建设厅网站（http://js.shaanxi.gov.cn/）陕西省建筑市场监管与诚信信息发布平台”可查询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西安市长安区引镇街道办事处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西安市长安区引镇街道鸿翔东街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西安市长安区引镇街道办事处经办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029-85993277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采购包1：567,125.09元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以采购项目的中标（成交）金额作为收费基数，按照国家计委（计价格【2002】1980号）《招标代理服务收费管理暂行办法》规定的货物类收费标准收取。由成交供应商向采购代理机构一次性支付，具体收费金额以采购结果公示为准。 2.成交单位在领取成交通知书前，须向采购代理机构一次性支付采购代理服务费。 3.代理费缴存账户： 开户收款单位：陕西中诚天和项目管理有限公司；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西安市长安区引镇街道办事处</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西安市长安区引镇街道办事处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西安市长安区引镇街道办事处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567,125.09</w:t>
      </w:r>
    </w:p>
    <w:p>
      <w:pPr>
        <w:pStyle w:val="null3"/>
      </w:pPr>
      <w:r>
        <w:rPr>
          <w:rFonts w:ascii="仿宋_GB2312" w:hAnsi="仿宋_GB2312" w:cs="仿宋_GB2312" w:eastAsia="仿宋_GB2312"/>
        </w:rPr>
        <w:t>采购包最高限价（元）: 567,125.09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引镇物流园地块二（中铁项目）围墙圈建项目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567,125.09</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标的名称：引镇物流园地块二（中铁项目）围墙圈建项目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b/>
              </w:rPr>
              <w:t>一、编制依据：</w:t>
            </w:r>
          </w:p>
          <w:p>
            <w:pPr>
              <w:pStyle w:val="null3"/>
              <w:ind w:firstLine="560"/>
              <w:jc w:val="left"/>
            </w:pPr>
            <w:r>
              <w:rPr>
                <w:rFonts w:ascii="仿宋_GB2312" w:hAnsi="仿宋_GB2312" w:cs="仿宋_GB2312" w:eastAsia="仿宋_GB2312"/>
                <w:sz w:val="18"/>
              </w:rPr>
              <w:t>1．引镇物流园地块二（中铁科技）围墙圈建项目设计图纸</w:t>
            </w:r>
          </w:p>
          <w:p>
            <w:pPr>
              <w:pStyle w:val="null3"/>
              <w:ind w:firstLine="560"/>
              <w:jc w:val="left"/>
            </w:pPr>
            <w:r>
              <w:rPr>
                <w:rFonts w:ascii="仿宋_GB2312" w:hAnsi="仿宋_GB2312" w:cs="仿宋_GB2312" w:eastAsia="仿宋_GB2312"/>
                <w:sz w:val="18"/>
              </w:rPr>
              <w:t>2.《陕西省建设工程工程量清单计价规则（2009）》及费率表；《陕西省建筑、安装、市政、园林绿化工程消耗量定额（2004）》；《陕西省建筑、安装、市政、园林绿化工程价目表（2009）》；《陕西省建筑、安装、市政、园林绿化工程价目表（2009）》等；</w:t>
            </w:r>
          </w:p>
          <w:p>
            <w:pPr>
              <w:pStyle w:val="null3"/>
              <w:ind w:firstLine="560"/>
              <w:jc w:val="both"/>
            </w:pPr>
            <w:r>
              <w:rPr>
                <w:rFonts w:ascii="仿宋_GB2312" w:hAnsi="仿宋_GB2312" w:cs="仿宋_GB2312" w:eastAsia="仿宋_GB2312"/>
                <w:sz w:val="18"/>
              </w:rPr>
              <w:t>3.陕建发﹝2017﹞270号文、陕建发﹝2019﹞45号文、陕建发﹝2019﹞1246号文、陕建发﹝2020﹞1097号文、陕建发﹝2021﹞1021号文、陕建发﹝2021﹞1097号等文件；</w:t>
            </w:r>
          </w:p>
          <w:p>
            <w:pPr>
              <w:pStyle w:val="null3"/>
              <w:ind w:firstLine="560"/>
              <w:jc w:val="both"/>
            </w:pPr>
            <w:r>
              <w:rPr>
                <w:rFonts w:ascii="仿宋_GB2312" w:hAnsi="仿宋_GB2312" w:cs="仿宋_GB2312" w:eastAsia="仿宋_GB2312"/>
                <w:sz w:val="18"/>
              </w:rPr>
              <w:t>4.计价采用广联达云计价GCCP6.0计价软件（版本号：6.4100.23.120）；</w:t>
            </w:r>
          </w:p>
          <w:p>
            <w:pPr>
              <w:pStyle w:val="null3"/>
              <w:ind w:firstLine="560"/>
              <w:jc w:val="both"/>
            </w:pPr>
            <w:r>
              <w:rPr>
                <w:rFonts w:ascii="仿宋_GB2312" w:hAnsi="仿宋_GB2312" w:cs="仿宋_GB2312" w:eastAsia="仿宋_GB2312"/>
                <w:sz w:val="18"/>
              </w:rPr>
              <w:t>5.按常规的施工工艺考虑。</w:t>
            </w:r>
          </w:p>
          <w:p>
            <w:pPr>
              <w:pStyle w:val="null3"/>
              <w:jc w:val="both"/>
            </w:pPr>
            <w:r>
              <w:rPr>
                <w:rFonts w:ascii="仿宋_GB2312" w:hAnsi="仿宋_GB2312" w:cs="仿宋_GB2312" w:eastAsia="仿宋_GB2312"/>
                <w:sz w:val="18"/>
                <w:b/>
              </w:rPr>
              <w:t>二、其他说明：</w:t>
            </w:r>
          </w:p>
          <w:p>
            <w:pPr>
              <w:pStyle w:val="null3"/>
              <w:ind w:firstLine="561"/>
              <w:jc w:val="both"/>
            </w:pPr>
            <w:r>
              <w:rPr>
                <w:rFonts w:ascii="仿宋_GB2312" w:hAnsi="仿宋_GB2312" w:cs="仿宋_GB2312" w:eastAsia="仿宋_GB2312"/>
                <w:sz w:val="18"/>
              </w:rPr>
              <w:t>1.本项目无暂列金额；</w:t>
            </w:r>
          </w:p>
          <w:p>
            <w:pPr>
              <w:pStyle w:val="null3"/>
              <w:ind w:firstLine="561"/>
              <w:jc w:val="both"/>
            </w:pPr>
            <w:r>
              <w:rPr>
                <w:rFonts w:ascii="仿宋_GB2312" w:hAnsi="仿宋_GB2312" w:cs="仿宋_GB2312" w:eastAsia="仿宋_GB2312"/>
                <w:sz w:val="18"/>
              </w:rPr>
              <w:t>2.本项目开挖土方考虑二次使用或村内就近处理。</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工期：30个日历日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《建设工程安全生产管理条例》 《西安市建筑垃圾管理条例》 《西安市扬尘污染防治条例》 《建筑机械使用安全技术规程》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施工质量要求 1.质量目标 （1）保证本工程一次交验达到合格标准。 （2）严格按国家现行施工验收规范施工，严格按照国家相关防雷规范标准，检评各分部分项工程，确保本工程一次性交验合格并争取达到合格标准。 （3）加强工程质量过程控制，确保各施工过程、施工工艺处于受控状态。 （4）坚决贯彻执行《建设工程质量管理条例》及《工程建设标准强制条文》的有关条款，严格履行供应单位的质量责任和义务，确保建设工程施工质量。 （5）保证圆满实现本项目的所有各项使用功能，并加强对主要分部的质量控制，彻底消除质量通病。 2.安全生产、文明施工目标 （1）创安全文明施工达标现场，杜绝重伤事故、火灾事故。 （2）认真贯彻实施国家标准《建筑施工安全检查标准》JGJ 59-2011、《声环境质量标准》GB 3096-2008及相关标准、规范要求。四、工程量清单（详见附件） （说明：工程量清单应当结合《政府采购需求管理办法》（财库〔2021〕22号）第六条第二款规定，明确相关性能、材料、结构、外观、安全、标准等。）</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 信用代码营业执照（事业单位提供法人证书， 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拟派项目经理具备建筑工程专业贰级（含贰级）以上注册建造师资质，具备有效的安全生产考核合格证书（安全生产考核 B 类证书），且无在建工程（提供承诺书)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资质证书；安全生产许可证</w:t>
            </w:r>
          </w:p>
        </w:tc>
        <w:tc>
          <w:tcPr>
            <w:tcW w:type="dxa" w:w="3322"/>
          </w:tcPr>
          <w:p>
            <w:pPr>
              <w:pStyle w:val="null3"/>
            </w:pPr>
            <w:r>
              <w:rPr>
                <w:rFonts w:ascii="仿宋_GB2312" w:hAnsi="仿宋_GB2312" w:cs="仿宋_GB2312" w:eastAsia="仿宋_GB2312"/>
              </w:rPr>
              <w:t>供应商需具备建筑工程施工总承包叁级（含叁级）以上资质;具备有效的安全生产许可证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法定代表人授权书及委托代理人身份证</w:t>
            </w:r>
          </w:p>
        </w:tc>
        <w:tc>
          <w:tcPr>
            <w:tcW w:type="dxa" w:w="3322"/>
          </w:tcPr>
          <w:p>
            <w:pPr>
              <w:pStyle w:val="null3"/>
            </w:pPr>
            <w:r>
              <w:rPr>
                <w:rFonts w:ascii="仿宋_GB2312" w:hAnsi="仿宋_GB2312" w:cs="仿宋_GB2312" w:eastAsia="仿宋_GB2312"/>
              </w:rPr>
              <w:t>法定代表人授权书及委托代理人身份证（法定代表人直接投标只须提交其身份证原件）</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2023—2024年任意一年度经审计的财务会计报告（包括审计报告、资产负债表、利润表、现金流量表、所有者权益变动表及其附注，成立时间至提交响应文件截止时间不足一年的可提供成立后任意时段的资产负债表），或基本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参加政府采购活动前3年内在经营活动中没有重大违法纪录和具有履行合同所必需的设备、专业技术能力的书面声明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供应商基本信息及项目经理的基本信息在“陕西省住房和城乡建设厅网站（http://js.shaanxi.gov.cn/）陕西省建筑市场监管与诚信信息发布平台”可查询</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 xml:space="preserve"> 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符合“采购需求”的规定</w:t>
            </w:r>
          </w:p>
        </w:tc>
        <w:tc>
          <w:tcPr>
            <w:tcW w:type="dxa" w:w="1661"/>
          </w:tcPr>
          <w:p>
            <w:pPr>
              <w:pStyle w:val="null3"/>
            </w:pPr>
            <w:r>
              <w:rPr>
                <w:rFonts w:ascii="仿宋_GB2312" w:hAnsi="仿宋_GB2312" w:cs="仿宋_GB2312" w:eastAsia="仿宋_GB2312"/>
              </w:rPr>
              <w:t>已标价工程量清单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技术标准和要求</w:t>
            </w:r>
          </w:p>
        </w:tc>
        <w:tc>
          <w:tcPr>
            <w:tcW w:type="dxa" w:w="3322"/>
          </w:tcPr>
          <w:p>
            <w:pPr>
              <w:pStyle w:val="null3"/>
            </w:pPr>
            <w:r>
              <w:rPr>
                <w:rFonts w:ascii="仿宋_GB2312" w:hAnsi="仿宋_GB2312" w:cs="仿宋_GB2312" w:eastAsia="仿宋_GB2312"/>
              </w:rPr>
              <w:t>符合“采购需求”的规定</w:t>
            </w:r>
          </w:p>
        </w:tc>
        <w:tc>
          <w:tcPr>
            <w:tcW w:type="dxa" w:w="1661"/>
          </w:tcPr>
          <w:p>
            <w:pPr>
              <w:pStyle w:val="null3"/>
            </w:pPr>
            <w:r>
              <w:rPr>
                <w:rFonts w:ascii="仿宋_GB2312" w:hAnsi="仿宋_GB2312" w:cs="仿宋_GB2312" w:eastAsia="仿宋_GB2312"/>
              </w:rPr>
              <w:t>技术服务合同条款及其他商务要求应答表 强制优先采购产品承诺函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符合“政府采购合同格式”条款中实质性要求和条件</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施工总体流程安排合理，对项目关键技术、工艺的表述全面深入，对重点难点工程有先进 、合理的建议，提出的解决方案完整、经济、安全、切实可行得7.0-10.0分。施工总体流 程安排合理，对项目关键技术、工艺不够全面深入，对重点难点工程分析不全面彻底，提 出的解决方案基本满足要求得4-6.9分。施工总体流程安排合理，对项目关键技术、工艺 描述不足，缺乏对重点难点工程的分析，提出的解决方案不能充分满足工程需要得0-3.9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 并根据本项目的工期要求，提供全面的确保工程按期按质完成的进度计划安排。整体进度 安排（施工进度表或施工网络图）及各阶段进度保证措施内容合理、方案具体可行、完全 符合要求得7.0-10.0分；内容较合理、方案可行性一般，基本符合要求得4.0-6.9分；内 容不完备、方案可行性差、不能全面符合要求得0-3.9分；未提供不得分。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。内容合理、方案具体可行、完全符合要求得3.0-5.0分；内容较合理、方案可行性一般 , 基本符合要求得1.0-2.9分；内容不完备、方案可行性差、不能全面符合要求得0-0.9分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针对本项目作出合理有效的工程施工承诺（包括但不限于不得拖欠施工人员工资、具体可行并符合国家相关保修规范的售后服务承诺等），按其响应程度计 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 确保本项目质量标准符合相关标准。内容合理、方案具体可行、完全符合要求得7.0-10.0 分；内容较合理、方案可行性一般，基本符合要求得4.0-6.9分；内容不完备、方案可行 性差、不能全面符合要求得0-3.9分；未提供不得分。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项目部组成人员配备合理、分工明确，有详细的安排计划得7.0-10.0分；组成人员配备较 合理、分工较明确，安排计划较合理得4.0-6.9分；组成人员配备基本合理、分工基本明 确，安排计划基本合理得0-3.9分；未提供不得分。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 尘降噪等保证措施。安全文明、环保保证体系组织措施和控制点设置合理，内容合理、方 案具体可行、完全符合要求得4.0-6.0分；内容较合理、方案可行性一般，基本符合要求 得2.0-3.9分；内容不完备、方案可行性差、不能全面符合要求得0-1.9分；未提供不得分。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可实施性强得6-9分； 可实施性一般得3-5.9分；可实施性较低得0-2.9分；未提供不得分。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供应商应提供2022年1月起至今承接过类似项目的业绩合同证明材料（以合同的签订日期为准，须提供合同复印件加盖公章）（每提供一个得1分，满分5分）。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价格分采用低价优先法计算，即满足采购文件要求且最低的磋商报价作为评标基准价，其价格分为满分。其他供应商的价格分统一按照下列公式计算： 报价得分=（评标基准价/投标报价）×价格权重×100 注：本项目为专门面向中小企业采购的采购项目。因此，不再执行价格评审优惠扶持政策。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