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版本号：ZKZC-251901220250506001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西康高铁引镇街道河滩村安置项目、赵家坡常村安置项目、枣姚村安置项目建设工程勘察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ZKZC-2519012</w:t>
      </w:r>
      <w:r>
        <w:br/>
      </w:r>
      <w:r>
        <w:br/>
      </w:r>
      <w:r>
        <w:br/>
      </w:r>
    </w:p>
    <w:p>
      <w:pPr>
        <w:pStyle w:val="null3"/>
        <w:jc w:val="center"/>
        <w:outlineLvl w:val="2"/>
      </w:pPr>
      <w:r>
        <w:rPr>
          <w:rFonts w:ascii="仿宋_GB2312" w:hAnsi="仿宋_GB2312" w:cs="仿宋_GB2312" w:eastAsia="仿宋_GB2312"/>
          <w:sz w:val="28"/>
          <w:b/>
        </w:rPr>
        <w:t>西安市长安区引镇街道办事处</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西安市长安区引镇街道办事处</w:t>
      </w:r>
      <w:r>
        <w:rPr>
          <w:rFonts w:ascii="仿宋_GB2312" w:hAnsi="仿宋_GB2312" w:cs="仿宋_GB2312" w:eastAsia="仿宋_GB2312"/>
        </w:rPr>
        <w:t>委托，拟对</w:t>
      </w:r>
      <w:r>
        <w:rPr>
          <w:rFonts w:ascii="仿宋_GB2312" w:hAnsi="仿宋_GB2312" w:cs="仿宋_GB2312" w:eastAsia="仿宋_GB2312"/>
        </w:rPr>
        <w:t>西康高铁引镇街道河滩村安置项目、赵家坡常村安置项目、枣姚村安置项目建设工程勘察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ZKZC-2519012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西康高铁引镇街道河滩村安置项目、赵家坡常村安置项目、枣姚村安置项目建设工程勘察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引镇街道河滩村、赵家坡常村、枣姚村，总安置户数为104户，以村庄为单位进行分区域安置。其中河滩村34户，拟选用分为三个地块，总用地面积11300.06㎡，建筑面积约5100㎡；赵家坡常村15户，拟选用一个地块，用地面积4999.61㎡，建筑面积约2250㎡；枣姚村55户，拟选用两个地块，总用地面18316.58㎡，建筑面积约8250㎡。具体详见项目勘察任务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采购包1（西康高铁引镇街道河滩村安置项目、赵家坡常村安置项目、枣姚村安置项目建设工程勘察）：属于专门面向中小企业采购。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2022或2023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pPr>
        <w:pStyle w:val="null3"/>
      </w:pPr>
      <w:r>
        <w:rPr>
          <w:rFonts w:ascii="仿宋_GB2312" w:hAnsi="仿宋_GB2312" w:cs="仿宋_GB2312" w:eastAsia="仿宋_GB2312"/>
        </w:rPr>
        <w:t>3、税收缴纳证明：提供开标截止时间前6个月内任意一个月的纳税证明或完税证明，纳税证明或完税证明上应有代收机构或税务机关的公章。依法免税的供应商应提供相关文件证明。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8、供应商及项目负责人：供应商须具备工程勘察综合甲级资质或岩土工程勘察专业乙级及以上资质；拟派项目负责人须具备注册土木工程师(岩土)执业资格，并在本单位注册。</w:t>
      </w:r>
    </w:p>
    <w:p>
      <w:pPr>
        <w:pStyle w:val="null3"/>
      </w:pPr>
      <w:r>
        <w:rPr>
          <w:rFonts w:ascii="仿宋_GB2312" w:hAnsi="仿宋_GB2312" w:cs="仿宋_GB2312" w:eastAsia="仿宋_GB2312"/>
        </w:rPr>
        <w:t>9、信用记录：供应商不得被列入“信用中国”网站（www.creditchina.gov.cn）失信被执行人名单、重大税收违法失信主体、政府采购严重违法失信行为记录名单，不得被列入“中国政府采购网”（www.ccgp.gov.cn）政府采购严重违法失信行为记录名单。</w:t>
      </w:r>
    </w:p>
    <w:p>
      <w:pPr>
        <w:pStyle w:val="null3"/>
      </w:pPr>
      <w:r>
        <w:rPr>
          <w:rFonts w:ascii="仿宋_GB2312" w:hAnsi="仿宋_GB2312" w:cs="仿宋_GB2312" w:eastAsia="仿宋_GB2312"/>
        </w:rPr>
        <w:t>10、单位负责人为同一人或者存在直接控股、管理关系的不同供应商不得参加同一合同项下的政府采购活动；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为本项目提供整体设计、规范编制或者项目管理、监理、检测等服务的供应商，不得再参加该采购项目的其他采购活动（提供书面声明）。</w:t>
      </w:r>
    </w:p>
    <w:p>
      <w:pPr>
        <w:pStyle w:val="null3"/>
      </w:pPr>
      <w:r>
        <w:rPr>
          <w:rFonts w:ascii="仿宋_GB2312" w:hAnsi="仿宋_GB2312" w:cs="仿宋_GB2312" w:eastAsia="仿宋_GB2312"/>
        </w:rPr>
        <w:t>11、本项目不接受联合体投标：本项目不接受联合体投标（提供书面声明）。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西安市长安区引镇街道办事处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西安市长安区引镇街道鸿翔东街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029-85886382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郭咪咪、宁莎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成交价作为基数，参照发改价格[2011]534号文件及《国家发展改革委关于进一步放开建设项目专业服务价格的通知》（发改价格〔2015〕299号）文的规定标准收取。服务费可以采取银行转账或现金等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西安市长安区引镇街道办事处</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西安市长安区引镇街道办事处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西安市长安区引镇街道办事处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联系人：郭咪咪 宁莎</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位于引镇街道河滩村、赵家坡常村、枣姚村，总安置户数为104户，以村庄为单位进行分区域安置。其中河滩村34户，拟选用分为三个地块，总用地面积11300.06㎡，建筑面积约5100㎡；赵家坡常村15户，拟选用一个地块，用地面积4999.61㎡，建筑面积约2250㎡；枣姚村55户，拟选用两个地块，总用地面18316.58㎡，建筑面积约8250㎡。具体详见项目勘察任务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西康高铁引镇街道河滩村安置项目、赵家坡常村安置项目、枣姚村安置项目建设工程勘察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标的名称：西康高铁引镇街道河滩村安置项目、赵家坡常村安置项目、枣姚村安置项目建设工程勘察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80"/>
              <w:ind w:right="180" w:firstLine="488"/>
              <w:jc w:val="left"/>
            </w:pPr>
            <w:r>
              <w:rPr>
                <w:rFonts w:ascii="仿宋_GB2312" w:hAnsi="仿宋_GB2312" w:cs="仿宋_GB2312" w:eastAsia="仿宋_GB2312"/>
                <w:sz w:val="20"/>
                <w:color w:val="000000"/>
              </w:rPr>
              <w:t>一、项目名称：西康高铁引镇街道河滩村安置项目、赵家坡常村安置项目、枣姚村安置项目建设工程勘察</w:t>
            </w:r>
          </w:p>
          <w:p>
            <w:pPr>
              <w:pStyle w:val="null3"/>
              <w:spacing w:before="180"/>
              <w:ind w:left="15"/>
              <w:jc w:val="left"/>
            </w:pPr>
            <w:r>
              <w:rPr>
                <w:rFonts w:ascii="仿宋_GB2312" w:hAnsi="仿宋_GB2312" w:cs="仿宋_GB2312" w:eastAsia="仿宋_GB2312"/>
                <w:sz w:val="20"/>
                <w:b/>
                <w:color w:val="000000"/>
              </w:rPr>
              <w:t>二、项目</w:t>
            </w:r>
            <w:r>
              <w:rPr>
                <w:rFonts w:ascii="仿宋_GB2312" w:hAnsi="仿宋_GB2312" w:cs="仿宋_GB2312" w:eastAsia="仿宋_GB2312"/>
                <w:sz w:val="20"/>
                <w:b/>
                <w:color w:val="000000"/>
              </w:rPr>
              <w:t>基本情况</w:t>
            </w:r>
            <w:r>
              <w:rPr>
                <w:rFonts w:ascii="仿宋_GB2312" w:hAnsi="仿宋_GB2312" w:cs="仿宋_GB2312" w:eastAsia="仿宋_GB2312"/>
                <w:sz w:val="20"/>
                <w:b/>
                <w:color w:val="000000"/>
              </w:rPr>
              <w:t>：</w:t>
            </w:r>
          </w:p>
          <w:p>
            <w:pPr>
              <w:pStyle w:val="null3"/>
              <w:spacing w:before="180"/>
              <w:ind w:right="180" w:firstLine="488"/>
              <w:jc w:val="left"/>
            </w:pPr>
            <w:r>
              <w:rPr>
                <w:rFonts w:ascii="仿宋_GB2312" w:hAnsi="仿宋_GB2312" w:cs="仿宋_GB2312" w:eastAsia="仿宋_GB2312"/>
                <w:sz w:val="20"/>
                <w:color w:val="000000"/>
              </w:rPr>
              <w:t>项目位于引镇街道河滩村、赵家坡常村、枣姚村，总安置户数为</w:t>
            </w:r>
            <w:r>
              <w:rPr>
                <w:rFonts w:ascii="仿宋_GB2312" w:hAnsi="仿宋_GB2312" w:cs="仿宋_GB2312" w:eastAsia="仿宋_GB2312"/>
                <w:sz w:val="20"/>
                <w:color w:val="000000"/>
              </w:rPr>
              <w:t>104户，以村庄为单位进行分区域安置。其中河滩村34户，拟选用分为三个地块，总用地面积11300.06㎡，建筑面积约5100㎡；赵家坡常村15户，拟选用一个地块，用地面积4999.61㎡，建筑面积约2250㎡；枣姚村55户，拟选用两个地块，总用地面18316.58㎡，建筑面积约8250㎡。</w:t>
            </w:r>
            <w:r>
              <w:rPr>
                <w:rFonts w:ascii="仿宋_GB2312" w:hAnsi="仿宋_GB2312" w:cs="仿宋_GB2312" w:eastAsia="仿宋_GB2312"/>
                <w:sz w:val="20"/>
                <w:color w:val="000000"/>
              </w:rPr>
              <w:t>建筑规模为</w:t>
            </w:r>
            <w:r>
              <w:rPr>
                <w:rFonts w:ascii="仿宋_GB2312" w:hAnsi="仿宋_GB2312" w:cs="仿宋_GB2312" w:eastAsia="仿宋_GB2312"/>
                <w:sz w:val="20"/>
                <w:color w:val="000000"/>
              </w:rPr>
              <w:t>3层以下（含3层）。</w:t>
            </w:r>
          </w:p>
          <w:p>
            <w:pPr>
              <w:pStyle w:val="null3"/>
              <w:spacing w:before="180"/>
              <w:ind w:right="180"/>
              <w:jc w:val="left"/>
            </w:pPr>
            <w:r>
              <w:rPr>
                <w:rFonts w:ascii="仿宋_GB2312" w:hAnsi="仿宋_GB2312" w:cs="仿宋_GB2312" w:eastAsia="仿宋_GB2312"/>
                <w:sz w:val="20"/>
                <w:b/>
                <w:color w:val="000000"/>
              </w:rPr>
              <w:t>三、技术、服务要求：</w:t>
            </w:r>
          </w:p>
          <w:p>
            <w:pPr>
              <w:pStyle w:val="null3"/>
              <w:spacing w:before="180"/>
              <w:ind w:left="15"/>
              <w:jc w:val="left"/>
            </w:pPr>
            <w:r>
              <w:rPr>
                <w:rFonts w:ascii="仿宋_GB2312" w:hAnsi="仿宋_GB2312" w:cs="仿宋_GB2312" w:eastAsia="仿宋_GB2312"/>
                <w:sz w:val="20"/>
                <w:color w:val="000000"/>
              </w:rPr>
              <w:t>1、服务内容：</w:t>
            </w:r>
          </w:p>
          <w:p>
            <w:pPr>
              <w:pStyle w:val="null3"/>
              <w:spacing w:before="180"/>
              <w:ind w:right="180" w:firstLine="488"/>
              <w:jc w:val="left"/>
            </w:pPr>
            <w:r>
              <w:rPr>
                <w:rFonts w:ascii="仿宋_GB2312" w:hAnsi="仿宋_GB2312" w:cs="仿宋_GB2312" w:eastAsia="仿宋_GB2312"/>
                <w:sz w:val="20"/>
                <w:color w:val="000000"/>
              </w:rPr>
              <w:t>包括收集资料，现场踏勘，制订勘察纲要（勘探、取样、试验、测试），提交勘察报告，与设计单位、施工单位的配合，后续服务等内容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所有成果文件必须符合</w:t>
            </w:r>
            <w:r>
              <w:rPr>
                <w:rFonts w:ascii="仿宋_GB2312" w:hAnsi="仿宋_GB2312" w:cs="仿宋_GB2312" w:eastAsia="仿宋_GB2312"/>
                <w:sz w:val="20"/>
                <w:color w:val="000000"/>
              </w:rPr>
              <w:t>国家相关规范、标准及采购人要求</w:t>
            </w:r>
            <w:r>
              <w:rPr>
                <w:rFonts w:ascii="仿宋_GB2312" w:hAnsi="仿宋_GB2312" w:cs="仿宋_GB2312" w:eastAsia="仿宋_GB2312"/>
                <w:sz w:val="20"/>
                <w:color w:val="000000"/>
              </w:rPr>
              <w:t>。</w:t>
            </w:r>
          </w:p>
          <w:p>
            <w:pPr>
              <w:pStyle w:val="null3"/>
              <w:spacing w:before="45"/>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勘察</w:t>
            </w:r>
            <w:r>
              <w:rPr>
                <w:rFonts w:ascii="仿宋_GB2312" w:hAnsi="仿宋_GB2312" w:cs="仿宋_GB2312" w:eastAsia="仿宋_GB2312"/>
                <w:sz w:val="20"/>
                <w:color w:val="000000"/>
              </w:rPr>
              <w:t>要求：</w:t>
            </w:r>
          </w:p>
          <w:p>
            <w:pPr>
              <w:pStyle w:val="null3"/>
              <w:spacing w:before="180"/>
              <w:ind w:firstLine="476"/>
              <w:jc w:val="left"/>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拟建场地地基土分布及其物理力学性质，并作出工程地质评价，为建（构）筑物地基基础设计、施工及不良地质作用的防治提供岩土工程勘察资料：</w:t>
            </w:r>
          </w:p>
          <w:p>
            <w:pPr>
              <w:pStyle w:val="null3"/>
              <w:spacing w:before="180"/>
              <w:ind w:firstLine="400"/>
              <w:jc w:val="left"/>
            </w:pPr>
            <w:r>
              <w:rPr>
                <w:rFonts w:ascii="仿宋_GB2312" w:hAnsi="仿宋_GB2312" w:cs="仿宋_GB2312" w:eastAsia="仿宋_GB2312"/>
                <w:sz w:val="20"/>
                <w:color w:val="000000"/>
              </w:rPr>
              <w:t>1）评价场地稳定性及建筑适宜性；</w:t>
            </w:r>
          </w:p>
          <w:p>
            <w:pPr>
              <w:pStyle w:val="null3"/>
              <w:spacing w:before="180"/>
              <w:ind w:firstLine="400"/>
              <w:jc w:val="left"/>
            </w:pPr>
            <w:r>
              <w:rPr>
                <w:rFonts w:ascii="仿宋_GB2312" w:hAnsi="仿宋_GB2312" w:cs="仿宋_GB2312" w:eastAsia="仿宋_GB2312"/>
                <w:sz w:val="20"/>
                <w:color w:val="000000"/>
              </w:rPr>
              <w:t>2）查明地层结构和岩土工程特性；</w:t>
            </w:r>
          </w:p>
          <w:p>
            <w:pPr>
              <w:pStyle w:val="null3"/>
              <w:spacing w:before="180"/>
              <w:ind w:firstLine="400"/>
              <w:jc w:val="left"/>
            </w:pPr>
            <w:r>
              <w:rPr>
                <w:rFonts w:ascii="仿宋_GB2312" w:hAnsi="仿宋_GB2312" w:cs="仿宋_GB2312" w:eastAsia="仿宋_GB2312"/>
                <w:sz w:val="20"/>
                <w:color w:val="000000"/>
              </w:rPr>
              <w:t>3）查明地下水埋藏条件和对工程建设的影响；</w:t>
            </w:r>
          </w:p>
          <w:p>
            <w:pPr>
              <w:pStyle w:val="null3"/>
              <w:spacing w:before="180"/>
              <w:ind w:firstLine="400"/>
              <w:jc w:val="left"/>
            </w:pPr>
            <w:r>
              <w:rPr>
                <w:rFonts w:ascii="仿宋_GB2312" w:hAnsi="仿宋_GB2312" w:cs="仿宋_GB2312" w:eastAsia="仿宋_GB2312"/>
                <w:sz w:val="20"/>
                <w:color w:val="000000"/>
              </w:rPr>
              <w:t>4）评价环境水、土对建筑材料的腐蚀性；</w:t>
            </w:r>
          </w:p>
          <w:p>
            <w:pPr>
              <w:pStyle w:val="null3"/>
              <w:spacing w:before="180"/>
              <w:ind w:firstLine="400"/>
              <w:jc w:val="left"/>
            </w:pPr>
            <w:r>
              <w:rPr>
                <w:rFonts w:ascii="仿宋_GB2312" w:hAnsi="仿宋_GB2312" w:cs="仿宋_GB2312" w:eastAsia="仿宋_GB2312"/>
                <w:sz w:val="20"/>
                <w:color w:val="000000"/>
              </w:rPr>
              <w:t>5）划分场地土类型和建筑场地类别、评价场地地震效应；</w:t>
            </w:r>
          </w:p>
          <w:p>
            <w:pPr>
              <w:pStyle w:val="null3"/>
              <w:spacing w:before="180"/>
              <w:ind w:firstLine="400"/>
              <w:jc w:val="left"/>
            </w:pPr>
            <w:r>
              <w:rPr>
                <w:rFonts w:ascii="仿宋_GB2312" w:hAnsi="仿宋_GB2312" w:cs="仿宋_GB2312" w:eastAsia="仿宋_GB2312"/>
                <w:sz w:val="20"/>
                <w:color w:val="000000"/>
              </w:rPr>
              <w:t>6）评价地基稳定性，提供地基承载力等参数；</w:t>
            </w:r>
          </w:p>
          <w:p>
            <w:pPr>
              <w:pStyle w:val="null3"/>
              <w:spacing w:before="180"/>
              <w:ind w:firstLine="400"/>
              <w:jc w:val="left"/>
            </w:pPr>
            <w:r>
              <w:rPr>
                <w:rFonts w:ascii="仿宋_GB2312" w:hAnsi="仿宋_GB2312" w:cs="仿宋_GB2312" w:eastAsia="仿宋_GB2312"/>
                <w:sz w:val="20"/>
                <w:color w:val="000000"/>
              </w:rPr>
              <w:t>7）评价桩基可行性，提供桩基设计岩土参数；</w:t>
            </w:r>
          </w:p>
          <w:p>
            <w:pPr>
              <w:pStyle w:val="null3"/>
              <w:spacing w:before="180"/>
              <w:ind w:firstLine="400"/>
              <w:jc w:val="left"/>
            </w:pPr>
            <w:r>
              <w:rPr>
                <w:rFonts w:ascii="仿宋_GB2312" w:hAnsi="仿宋_GB2312" w:cs="仿宋_GB2312" w:eastAsia="仿宋_GB2312"/>
                <w:sz w:val="20"/>
                <w:color w:val="000000"/>
              </w:rPr>
              <w:t>8）提供基坑开挖和支护的建议方案和岩土参数；</w:t>
            </w:r>
          </w:p>
          <w:p>
            <w:pPr>
              <w:pStyle w:val="null3"/>
              <w:spacing w:before="180"/>
              <w:ind w:firstLine="400"/>
              <w:jc w:val="left"/>
            </w:pPr>
            <w:r>
              <w:rPr>
                <w:rFonts w:ascii="仿宋_GB2312" w:hAnsi="仿宋_GB2312" w:cs="仿宋_GB2312" w:eastAsia="仿宋_GB2312"/>
                <w:sz w:val="20"/>
                <w:color w:val="000000"/>
              </w:rPr>
              <w:t>9）提供工程降水方案建议和水文地质参数；</w:t>
            </w:r>
          </w:p>
          <w:p>
            <w:pPr>
              <w:pStyle w:val="null3"/>
              <w:spacing w:before="180"/>
              <w:ind w:firstLine="400"/>
              <w:jc w:val="left"/>
            </w:pPr>
            <w:r>
              <w:rPr>
                <w:rFonts w:ascii="仿宋_GB2312" w:hAnsi="仿宋_GB2312" w:cs="仿宋_GB2312" w:eastAsia="仿宋_GB2312"/>
                <w:sz w:val="20"/>
                <w:color w:val="000000"/>
              </w:rPr>
              <w:t>10）提供不良地质作用防治措施建议和岩土参数；</w:t>
            </w:r>
          </w:p>
          <w:p>
            <w:pPr>
              <w:pStyle w:val="null3"/>
              <w:spacing w:before="180"/>
              <w:ind w:firstLine="476"/>
              <w:jc w:val="left"/>
            </w:pPr>
            <w:r>
              <w:rPr>
                <w:rFonts w:ascii="仿宋_GB2312" w:hAnsi="仿宋_GB2312" w:cs="仿宋_GB2312" w:eastAsia="仿宋_GB2312"/>
                <w:sz w:val="20"/>
                <w:color w:val="000000"/>
              </w:rPr>
              <w:t>11）分析地质条件可能造成的工程风险。</w:t>
            </w:r>
          </w:p>
          <w:p>
            <w:pPr>
              <w:pStyle w:val="null3"/>
              <w:spacing w:before="45"/>
              <w:jc w:val="left"/>
            </w:pPr>
            <w:r>
              <w:rPr>
                <w:rFonts w:ascii="仿宋_GB2312" w:hAnsi="仿宋_GB2312" w:cs="仿宋_GB2312" w:eastAsia="仿宋_GB2312"/>
                <w:sz w:val="20"/>
                <w:color w:val="000000"/>
              </w:rPr>
              <w:t>3、技术标准和技术规范：</w:t>
            </w:r>
          </w:p>
          <w:p>
            <w:pPr>
              <w:pStyle w:val="null3"/>
              <w:spacing w:before="180"/>
              <w:ind w:firstLine="400"/>
              <w:jc w:val="left"/>
            </w:pPr>
            <w:r>
              <w:rPr>
                <w:rFonts w:ascii="仿宋_GB2312" w:hAnsi="仿宋_GB2312" w:cs="仿宋_GB2312" w:eastAsia="仿宋_GB2312"/>
                <w:sz w:val="20"/>
                <w:color w:val="000000"/>
              </w:rPr>
              <w:t>3.1《工程勘察通用规范》 GB 55017-2021；</w:t>
            </w:r>
          </w:p>
          <w:p>
            <w:pPr>
              <w:pStyle w:val="null3"/>
              <w:spacing w:before="180"/>
              <w:ind w:firstLine="400"/>
              <w:jc w:val="left"/>
            </w:pPr>
            <w:r>
              <w:rPr>
                <w:rFonts w:ascii="仿宋_GB2312" w:hAnsi="仿宋_GB2312" w:cs="仿宋_GB2312" w:eastAsia="仿宋_GB2312"/>
                <w:sz w:val="20"/>
                <w:color w:val="000000"/>
              </w:rPr>
              <w:t>3.2《岩土工程勘察规范》 GB 50021-2001（2009年版）；</w:t>
            </w:r>
          </w:p>
          <w:p>
            <w:pPr>
              <w:pStyle w:val="null3"/>
              <w:spacing w:before="180"/>
              <w:ind w:firstLine="400"/>
              <w:jc w:val="left"/>
            </w:pPr>
            <w:r>
              <w:rPr>
                <w:rFonts w:ascii="仿宋_GB2312" w:hAnsi="仿宋_GB2312" w:cs="仿宋_GB2312" w:eastAsia="仿宋_GB2312"/>
                <w:sz w:val="20"/>
                <w:color w:val="000000"/>
              </w:rPr>
              <w:t>3.3《湿陷性黄土地区建筑标准》 GB 50025-2018；</w:t>
            </w:r>
          </w:p>
          <w:p>
            <w:pPr>
              <w:pStyle w:val="null3"/>
              <w:spacing w:before="180"/>
              <w:ind w:firstLine="400"/>
              <w:jc w:val="left"/>
            </w:pPr>
            <w:r>
              <w:rPr>
                <w:rFonts w:ascii="仿宋_GB2312" w:hAnsi="仿宋_GB2312" w:cs="仿宋_GB2312" w:eastAsia="仿宋_GB2312"/>
                <w:sz w:val="20"/>
                <w:color w:val="000000"/>
              </w:rPr>
              <w:t>3.4《建筑与市政地基基础通用规范》 GB 55003-2021；</w:t>
            </w:r>
          </w:p>
          <w:p>
            <w:pPr>
              <w:pStyle w:val="null3"/>
              <w:spacing w:before="180"/>
              <w:ind w:firstLine="400"/>
              <w:jc w:val="left"/>
            </w:pPr>
            <w:r>
              <w:rPr>
                <w:rFonts w:ascii="仿宋_GB2312" w:hAnsi="仿宋_GB2312" w:cs="仿宋_GB2312" w:eastAsia="仿宋_GB2312"/>
                <w:sz w:val="20"/>
                <w:color w:val="000000"/>
              </w:rPr>
              <w:t>3.5《建筑地基基础设计规范》 GB 50007-2011；</w:t>
            </w:r>
          </w:p>
          <w:p>
            <w:pPr>
              <w:pStyle w:val="null3"/>
              <w:spacing w:before="180"/>
              <w:ind w:firstLine="400"/>
              <w:jc w:val="left"/>
            </w:pPr>
            <w:r>
              <w:rPr>
                <w:rFonts w:ascii="仿宋_GB2312" w:hAnsi="仿宋_GB2312" w:cs="仿宋_GB2312" w:eastAsia="仿宋_GB2312"/>
                <w:sz w:val="20"/>
                <w:color w:val="000000"/>
              </w:rPr>
              <w:t>3.6《建筑与市政工程抗震通用规范》 GB 55002-2021；</w:t>
            </w:r>
          </w:p>
          <w:p>
            <w:pPr>
              <w:pStyle w:val="null3"/>
              <w:spacing w:before="180"/>
              <w:ind w:firstLine="400"/>
              <w:jc w:val="left"/>
            </w:pPr>
            <w:r>
              <w:rPr>
                <w:rFonts w:ascii="仿宋_GB2312" w:hAnsi="仿宋_GB2312" w:cs="仿宋_GB2312" w:eastAsia="仿宋_GB2312"/>
                <w:sz w:val="20"/>
                <w:color w:val="000000"/>
              </w:rPr>
              <w:t>3.7《建筑抗震设计规范》 GB 50011-2010（2016年版）；</w:t>
            </w:r>
          </w:p>
          <w:p>
            <w:pPr>
              <w:pStyle w:val="null3"/>
              <w:spacing w:before="180"/>
              <w:ind w:firstLine="400"/>
              <w:jc w:val="left"/>
            </w:pPr>
            <w:r>
              <w:rPr>
                <w:rFonts w:ascii="仿宋_GB2312" w:hAnsi="仿宋_GB2312" w:cs="仿宋_GB2312" w:eastAsia="仿宋_GB2312"/>
                <w:sz w:val="20"/>
                <w:color w:val="000000"/>
              </w:rPr>
              <w:t>3.8《建筑工程抗震设防分类标准》 GB 50223-2008；</w:t>
            </w:r>
          </w:p>
          <w:p>
            <w:pPr>
              <w:pStyle w:val="null3"/>
              <w:spacing w:before="180"/>
              <w:ind w:firstLine="400"/>
              <w:jc w:val="left"/>
            </w:pPr>
            <w:r>
              <w:rPr>
                <w:rFonts w:ascii="仿宋_GB2312" w:hAnsi="仿宋_GB2312" w:cs="仿宋_GB2312" w:eastAsia="仿宋_GB2312"/>
                <w:sz w:val="20"/>
                <w:color w:val="000000"/>
              </w:rPr>
              <w:t>3.9《中国地震动参数区划图》 GB 18306-2015；</w:t>
            </w:r>
          </w:p>
          <w:p>
            <w:pPr>
              <w:pStyle w:val="null3"/>
              <w:spacing w:before="180"/>
              <w:ind w:firstLine="400"/>
              <w:jc w:val="left"/>
            </w:pPr>
            <w:r>
              <w:rPr>
                <w:rFonts w:ascii="仿宋_GB2312" w:hAnsi="仿宋_GB2312" w:cs="仿宋_GB2312" w:eastAsia="仿宋_GB2312"/>
                <w:sz w:val="20"/>
                <w:color w:val="000000"/>
              </w:rPr>
              <w:t>3.10《岩土工程勘察安全标准》 GB 50585-2019；</w:t>
            </w:r>
          </w:p>
          <w:p>
            <w:pPr>
              <w:pStyle w:val="null3"/>
              <w:spacing w:before="180"/>
              <w:ind w:firstLine="400"/>
              <w:jc w:val="left"/>
            </w:pPr>
            <w:r>
              <w:rPr>
                <w:rFonts w:ascii="仿宋_GB2312" w:hAnsi="仿宋_GB2312" w:cs="仿宋_GB2312" w:eastAsia="仿宋_GB2312"/>
                <w:sz w:val="20"/>
                <w:color w:val="000000"/>
              </w:rPr>
              <w:t>3.11《土工试验方法标准》 GB/T 50123-2019；</w:t>
            </w:r>
          </w:p>
          <w:p>
            <w:pPr>
              <w:pStyle w:val="null3"/>
              <w:spacing w:before="180"/>
              <w:ind w:left="15" w:firstLine="477"/>
              <w:jc w:val="left"/>
            </w:pPr>
            <w:r>
              <w:rPr>
                <w:rFonts w:ascii="仿宋_GB2312" w:hAnsi="仿宋_GB2312" w:cs="仿宋_GB2312" w:eastAsia="仿宋_GB2312"/>
                <w:sz w:val="20"/>
                <w:color w:val="000000"/>
              </w:rPr>
              <w:t>3.12《工程岩体分级标准》 GB/T 50218-2014；</w:t>
            </w:r>
          </w:p>
          <w:p>
            <w:pPr>
              <w:pStyle w:val="null3"/>
              <w:spacing w:before="180"/>
              <w:ind w:left="15" w:firstLine="477"/>
              <w:jc w:val="left"/>
            </w:pPr>
            <w:r>
              <w:rPr>
                <w:rFonts w:ascii="仿宋_GB2312" w:hAnsi="仿宋_GB2312" w:cs="仿宋_GB2312" w:eastAsia="仿宋_GB2312"/>
                <w:sz w:val="20"/>
                <w:color w:val="000000"/>
              </w:rPr>
              <w:t>3.13《工程岩体试验方法标准》 GB/T 50266-2013；</w:t>
            </w:r>
          </w:p>
          <w:p>
            <w:pPr>
              <w:pStyle w:val="null3"/>
              <w:spacing w:before="180"/>
              <w:ind w:firstLine="400"/>
              <w:jc w:val="left"/>
            </w:pPr>
            <w:r>
              <w:rPr>
                <w:rFonts w:ascii="仿宋_GB2312" w:hAnsi="仿宋_GB2312" w:cs="仿宋_GB2312" w:eastAsia="仿宋_GB2312"/>
                <w:sz w:val="20"/>
                <w:color w:val="000000"/>
              </w:rPr>
              <w:t>3.14《建筑地基处理技术规范》 JGJ 79-2012；</w:t>
            </w:r>
          </w:p>
          <w:p>
            <w:pPr>
              <w:pStyle w:val="null3"/>
              <w:spacing w:before="180"/>
              <w:ind w:left="15" w:firstLine="477"/>
              <w:jc w:val="left"/>
            </w:pPr>
            <w:r>
              <w:rPr>
                <w:rFonts w:ascii="仿宋_GB2312" w:hAnsi="仿宋_GB2312" w:cs="仿宋_GB2312" w:eastAsia="仿宋_GB2312"/>
                <w:sz w:val="20"/>
                <w:color w:val="000000"/>
              </w:rPr>
              <w:t>3.15《建筑桩基技术规范》 JGJ 94-2008；</w:t>
            </w:r>
          </w:p>
          <w:p>
            <w:pPr>
              <w:pStyle w:val="null3"/>
              <w:spacing w:before="180"/>
              <w:ind w:left="15" w:firstLine="477"/>
              <w:jc w:val="left"/>
            </w:pPr>
            <w:r>
              <w:rPr>
                <w:rFonts w:ascii="仿宋_GB2312" w:hAnsi="仿宋_GB2312" w:cs="仿宋_GB2312" w:eastAsia="仿宋_GB2312"/>
                <w:sz w:val="20"/>
                <w:color w:val="000000"/>
              </w:rPr>
              <w:t>3.16《建筑基坑支护技术规程》 JGJ 120-2012；</w:t>
            </w:r>
          </w:p>
          <w:p>
            <w:pPr>
              <w:pStyle w:val="null3"/>
              <w:spacing w:before="180"/>
              <w:ind w:left="15" w:firstLine="477"/>
              <w:jc w:val="left"/>
            </w:pPr>
            <w:r>
              <w:rPr>
                <w:rFonts w:ascii="仿宋_GB2312" w:hAnsi="仿宋_GB2312" w:cs="仿宋_GB2312" w:eastAsia="仿宋_GB2312"/>
                <w:sz w:val="20"/>
                <w:color w:val="000000"/>
              </w:rPr>
              <w:t>3.17《建筑工程地质勘探与取样技术规程》 JGJ/T 87-2012；</w:t>
            </w:r>
          </w:p>
          <w:p>
            <w:pPr>
              <w:pStyle w:val="null3"/>
              <w:spacing w:before="180"/>
              <w:ind w:left="15" w:firstLine="477"/>
              <w:jc w:val="left"/>
            </w:pPr>
            <w:r>
              <w:rPr>
                <w:rFonts w:ascii="仿宋_GB2312" w:hAnsi="仿宋_GB2312" w:cs="仿宋_GB2312" w:eastAsia="仿宋_GB2312"/>
                <w:sz w:val="20"/>
                <w:color w:val="000000"/>
              </w:rPr>
              <w:t>3.18《房屋建筑和市政基础设施工程勘察文件编制深度规定》（2020年版）；</w:t>
            </w:r>
          </w:p>
          <w:p>
            <w:pPr>
              <w:pStyle w:val="null3"/>
              <w:spacing w:before="180"/>
              <w:ind w:left="15" w:firstLine="477"/>
              <w:jc w:val="left"/>
            </w:pPr>
            <w:r>
              <w:rPr>
                <w:rFonts w:ascii="仿宋_GB2312" w:hAnsi="仿宋_GB2312" w:cs="仿宋_GB2312" w:eastAsia="仿宋_GB2312"/>
                <w:sz w:val="20"/>
                <w:color w:val="000000"/>
              </w:rPr>
              <w:t>3.19《建设工程勘察质量管理办法》（2021年修订版）。</w:t>
            </w:r>
          </w:p>
          <w:p>
            <w:pPr>
              <w:pStyle w:val="null3"/>
              <w:spacing w:before="180"/>
              <w:jc w:val="left"/>
            </w:pPr>
            <w:r>
              <w:rPr>
                <w:rFonts w:ascii="仿宋_GB2312" w:hAnsi="仿宋_GB2312" w:cs="仿宋_GB2312" w:eastAsia="仿宋_GB2312"/>
                <w:sz w:val="20"/>
                <w:color w:val="000000"/>
              </w:rPr>
              <w:t>4、保密要求：</w:t>
            </w:r>
          </w:p>
          <w:p>
            <w:pPr>
              <w:pStyle w:val="null3"/>
              <w:spacing w:before="180"/>
              <w:ind w:left="15" w:firstLine="473"/>
              <w:jc w:val="left"/>
            </w:pPr>
            <w:r>
              <w:rPr>
                <w:rFonts w:ascii="仿宋_GB2312" w:hAnsi="仿宋_GB2312" w:cs="仿宋_GB2312" w:eastAsia="仿宋_GB2312"/>
                <w:sz w:val="20"/>
                <w:color w:val="000000"/>
              </w:rPr>
              <w:t>采购人根据合同约定结清</w:t>
            </w:r>
            <w:r>
              <w:rPr>
                <w:rFonts w:ascii="仿宋_GB2312" w:hAnsi="仿宋_GB2312" w:cs="仿宋_GB2312" w:eastAsia="仿宋_GB2312"/>
                <w:sz w:val="20"/>
                <w:color w:val="000000"/>
              </w:rPr>
              <w:t>勘察</w:t>
            </w:r>
            <w:r>
              <w:rPr>
                <w:rFonts w:ascii="仿宋_GB2312" w:hAnsi="仿宋_GB2312" w:cs="仿宋_GB2312" w:eastAsia="仿宋_GB2312"/>
                <w:sz w:val="20"/>
                <w:color w:val="000000"/>
              </w:rPr>
              <w:t>费用后，本项目的一切成果所有权归采购人所有，供应</w:t>
            </w:r>
            <w:r>
              <w:rPr>
                <w:rFonts w:ascii="仿宋_GB2312" w:hAnsi="仿宋_GB2312" w:cs="仿宋_GB2312" w:eastAsia="仿宋_GB2312"/>
                <w:sz w:val="20"/>
                <w:color w:val="000000"/>
              </w:rPr>
              <w:t>商应对成果进行保密不外泄。</w:t>
            </w:r>
          </w:p>
          <w:p>
            <w:pPr>
              <w:pStyle w:val="null3"/>
              <w:spacing w:before="45"/>
              <w:jc w:val="left"/>
            </w:pPr>
            <w:r>
              <w:rPr>
                <w:rFonts w:ascii="仿宋_GB2312" w:hAnsi="仿宋_GB2312" w:cs="仿宋_GB2312" w:eastAsia="仿宋_GB2312"/>
                <w:sz w:val="20"/>
                <w:color w:val="000000"/>
              </w:rPr>
              <w:t>5、成果文件要求：</w:t>
            </w:r>
          </w:p>
          <w:p>
            <w:pPr>
              <w:pStyle w:val="null3"/>
              <w:spacing w:before="180"/>
              <w:ind w:left="15" w:firstLine="477"/>
              <w:jc w:val="left"/>
            </w:pPr>
            <w:r>
              <w:rPr>
                <w:rFonts w:ascii="仿宋_GB2312" w:hAnsi="仿宋_GB2312" w:cs="仿宋_GB2312" w:eastAsia="仿宋_GB2312"/>
                <w:sz w:val="20"/>
                <w:color w:val="000000"/>
              </w:rPr>
              <w:t>5.1 提交正式成果文件肆份，叁份电子光盘。</w:t>
            </w:r>
          </w:p>
          <w:p>
            <w:pPr>
              <w:pStyle w:val="null3"/>
              <w:spacing w:before="180"/>
              <w:ind w:left="15" w:firstLine="477"/>
              <w:jc w:val="left"/>
            </w:pPr>
            <w:r>
              <w:rPr>
                <w:rFonts w:ascii="仿宋_GB2312" w:hAnsi="仿宋_GB2312" w:cs="仿宋_GB2312" w:eastAsia="仿宋_GB2312"/>
                <w:sz w:val="20"/>
                <w:color w:val="000000"/>
              </w:rPr>
              <w:t>5.2 资料包括：勘察报告、电子文件。</w:t>
            </w:r>
          </w:p>
          <w:p>
            <w:pPr>
              <w:pStyle w:val="null3"/>
              <w:spacing w:before="45"/>
              <w:jc w:val="left"/>
            </w:pPr>
            <w:r>
              <w:rPr>
                <w:rFonts w:ascii="仿宋_GB2312" w:hAnsi="仿宋_GB2312" w:cs="仿宋_GB2312" w:eastAsia="仿宋_GB2312"/>
                <w:sz w:val="20"/>
                <w:color w:val="000000"/>
              </w:rPr>
              <w:t>6、其他要求：</w:t>
            </w:r>
          </w:p>
          <w:p>
            <w:pPr>
              <w:pStyle w:val="null3"/>
              <w:spacing w:before="180"/>
              <w:ind w:left="15" w:firstLine="481"/>
              <w:jc w:val="left"/>
            </w:pPr>
            <w:r>
              <w:rPr>
                <w:rFonts w:ascii="仿宋_GB2312" w:hAnsi="仿宋_GB2312" w:cs="仿宋_GB2312" w:eastAsia="仿宋_GB2312"/>
                <w:sz w:val="20"/>
                <w:color w:val="000000"/>
              </w:rPr>
              <w:t>本</w:t>
            </w:r>
            <w:r>
              <w:rPr>
                <w:rFonts w:ascii="仿宋_GB2312" w:hAnsi="仿宋_GB2312" w:cs="仿宋_GB2312" w:eastAsia="仿宋_GB2312"/>
                <w:sz w:val="20"/>
                <w:color w:val="000000"/>
              </w:rPr>
              <w:t>项目</w:t>
            </w:r>
            <w:r>
              <w:rPr>
                <w:rFonts w:ascii="仿宋_GB2312" w:hAnsi="仿宋_GB2312" w:cs="仿宋_GB2312" w:eastAsia="仿宋_GB2312"/>
                <w:sz w:val="20"/>
                <w:color w:val="000000"/>
              </w:rPr>
              <w:t>合同为固定总价合同，合同总价即成交价，不受市场价变化或实际工作量变化的影响。乙方需无条件配合甲方完成本项目后续</w:t>
            </w:r>
            <w:r>
              <w:rPr>
                <w:rFonts w:ascii="仿宋_GB2312" w:hAnsi="仿宋_GB2312" w:cs="仿宋_GB2312" w:eastAsia="仿宋_GB2312"/>
                <w:sz w:val="20"/>
                <w:color w:val="000000"/>
              </w:rPr>
              <w:t>审图</w:t>
            </w:r>
            <w:r>
              <w:rPr>
                <w:rFonts w:ascii="仿宋_GB2312" w:hAnsi="仿宋_GB2312" w:cs="仿宋_GB2312" w:eastAsia="仿宋_GB2312"/>
                <w:sz w:val="20"/>
                <w:color w:val="000000"/>
              </w:rPr>
              <w:t>等相关事宜，确保项目的完整性及有效性。</w:t>
            </w:r>
          </w:p>
          <w:p>
            <w:pPr>
              <w:pStyle w:val="null3"/>
              <w:spacing w:before="45"/>
              <w:ind w:left="30"/>
              <w:jc w:val="left"/>
            </w:pPr>
            <w:r>
              <w:rPr>
                <w:rFonts w:ascii="仿宋_GB2312" w:hAnsi="仿宋_GB2312" w:cs="仿宋_GB2312" w:eastAsia="仿宋_GB2312"/>
                <w:sz w:val="20"/>
                <w:b/>
                <w:color w:val="000000"/>
              </w:rPr>
              <w:t>四、商务要求：</w:t>
            </w:r>
          </w:p>
          <w:p>
            <w:pPr>
              <w:pStyle w:val="null3"/>
              <w:spacing w:before="180"/>
              <w:ind w:left="15"/>
              <w:jc w:val="left"/>
            </w:pPr>
            <w:r>
              <w:rPr>
                <w:rFonts w:ascii="仿宋_GB2312" w:hAnsi="仿宋_GB2312" w:cs="仿宋_GB2312" w:eastAsia="仿宋_GB2312"/>
                <w:sz w:val="20"/>
                <w:color w:val="000000"/>
              </w:rPr>
              <w:t>1、服务期及实施地点：</w:t>
            </w:r>
          </w:p>
          <w:p>
            <w:pPr>
              <w:pStyle w:val="null3"/>
              <w:spacing w:before="180"/>
              <w:ind w:left="495"/>
              <w:jc w:val="left"/>
            </w:pPr>
            <w:r>
              <w:rPr>
                <w:rFonts w:ascii="仿宋_GB2312" w:hAnsi="仿宋_GB2312" w:cs="仿宋_GB2312" w:eastAsia="仿宋_GB2312"/>
                <w:sz w:val="20"/>
                <w:color w:val="000000"/>
              </w:rPr>
              <w:t>1.1 服务期：</w:t>
            </w:r>
            <w:r>
              <w:rPr>
                <w:rFonts w:ascii="仿宋_GB2312" w:hAnsi="仿宋_GB2312" w:cs="仿宋_GB2312" w:eastAsia="仿宋_GB2312"/>
                <w:sz w:val="20"/>
                <w:color w:val="000000"/>
              </w:rPr>
              <w:t>自合同签订之日起</w:t>
            </w:r>
            <w:r>
              <w:rPr>
                <w:rFonts w:ascii="仿宋_GB2312" w:hAnsi="仿宋_GB2312" w:cs="仿宋_GB2312" w:eastAsia="仿宋_GB2312"/>
                <w:sz w:val="20"/>
                <w:color w:val="000000"/>
              </w:rPr>
              <w:t>45</w:t>
            </w:r>
            <w:r>
              <w:rPr>
                <w:rFonts w:ascii="仿宋_GB2312" w:hAnsi="仿宋_GB2312" w:cs="仿宋_GB2312" w:eastAsia="仿宋_GB2312"/>
                <w:sz w:val="20"/>
                <w:color w:val="000000"/>
              </w:rPr>
              <w:t>日历天</w:t>
            </w:r>
            <w:r>
              <w:rPr>
                <w:rFonts w:ascii="仿宋_GB2312" w:hAnsi="仿宋_GB2312" w:cs="仿宋_GB2312" w:eastAsia="仿宋_GB2312"/>
                <w:sz w:val="20"/>
                <w:color w:val="000000"/>
              </w:rPr>
              <w:t>内</w:t>
            </w:r>
            <w:r>
              <w:rPr>
                <w:rFonts w:ascii="仿宋_GB2312" w:hAnsi="仿宋_GB2312" w:cs="仿宋_GB2312" w:eastAsia="仿宋_GB2312"/>
                <w:sz w:val="20"/>
                <w:color w:val="000000"/>
              </w:rPr>
              <w:t>。</w:t>
            </w:r>
          </w:p>
          <w:p>
            <w:pPr>
              <w:pStyle w:val="null3"/>
              <w:spacing w:before="180"/>
              <w:ind w:left="495"/>
              <w:jc w:val="left"/>
            </w:pPr>
            <w:r>
              <w:rPr>
                <w:rFonts w:ascii="仿宋_GB2312" w:hAnsi="仿宋_GB2312" w:cs="仿宋_GB2312" w:eastAsia="仿宋_GB2312"/>
                <w:sz w:val="20"/>
                <w:color w:val="000000"/>
              </w:rPr>
              <w:t>1.2 地点：</w:t>
            </w:r>
            <w:r>
              <w:rPr>
                <w:rFonts w:ascii="仿宋_GB2312" w:hAnsi="仿宋_GB2312" w:cs="仿宋_GB2312" w:eastAsia="仿宋_GB2312"/>
                <w:sz w:val="20"/>
                <w:color w:val="000000"/>
              </w:rPr>
              <w:t>西安市长安区引镇</w:t>
            </w:r>
            <w:r>
              <w:rPr>
                <w:rFonts w:ascii="仿宋_GB2312" w:hAnsi="仿宋_GB2312" w:cs="仿宋_GB2312" w:eastAsia="仿宋_GB2312"/>
                <w:sz w:val="20"/>
                <w:color w:val="000000"/>
              </w:rPr>
              <w:t>。</w:t>
            </w:r>
          </w:p>
          <w:p>
            <w:pPr>
              <w:pStyle w:val="null3"/>
              <w:spacing w:before="180"/>
              <w:jc w:val="left"/>
            </w:pPr>
            <w:r>
              <w:rPr>
                <w:rFonts w:ascii="仿宋_GB2312" w:hAnsi="仿宋_GB2312" w:cs="仿宋_GB2312" w:eastAsia="仿宋_GB2312"/>
                <w:sz w:val="20"/>
                <w:color w:val="000000"/>
              </w:rPr>
              <w:t>2、服务费支付方式：</w:t>
            </w:r>
          </w:p>
          <w:p>
            <w:pPr>
              <w:pStyle w:val="null3"/>
              <w:spacing w:before="180"/>
              <w:ind w:left="480"/>
              <w:jc w:val="left"/>
            </w:pPr>
            <w:r>
              <w:rPr>
                <w:rFonts w:ascii="仿宋_GB2312" w:hAnsi="仿宋_GB2312" w:cs="仿宋_GB2312" w:eastAsia="仿宋_GB2312"/>
                <w:sz w:val="20"/>
                <w:color w:val="000000"/>
              </w:rPr>
              <w:t>2.1</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付款方式：</w:t>
            </w:r>
          </w:p>
          <w:p>
            <w:pPr>
              <w:pStyle w:val="null3"/>
              <w:spacing w:before="180"/>
              <w:ind w:left="15" w:firstLine="481"/>
              <w:jc w:val="left"/>
            </w:pPr>
            <w:r>
              <w:rPr>
                <w:rFonts w:ascii="仿宋_GB2312" w:hAnsi="仿宋_GB2312" w:cs="仿宋_GB2312" w:eastAsia="仿宋_GB2312"/>
                <w:sz w:val="20"/>
                <w:color w:val="000000"/>
              </w:rPr>
              <w:t>合同签订后，甲方向乙方支付合同总金额的</w:t>
            </w:r>
            <w:r>
              <w:rPr>
                <w:rFonts w:ascii="仿宋_GB2312" w:hAnsi="仿宋_GB2312" w:cs="仿宋_GB2312" w:eastAsia="仿宋_GB2312"/>
                <w:sz w:val="20"/>
                <w:color w:val="000000"/>
              </w:rPr>
              <w:t>40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乙方</w:t>
            </w:r>
            <w:r>
              <w:rPr>
                <w:rFonts w:ascii="仿宋_GB2312" w:hAnsi="仿宋_GB2312" w:cs="仿宋_GB2312" w:eastAsia="仿宋_GB2312"/>
                <w:sz w:val="20"/>
                <w:color w:val="000000"/>
              </w:rPr>
              <w:t>完成本项目的勘察</w:t>
            </w:r>
            <w:r>
              <w:rPr>
                <w:rFonts w:ascii="仿宋_GB2312" w:hAnsi="仿宋_GB2312" w:cs="仿宋_GB2312" w:eastAsia="仿宋_GB2312"/>
                <w:sz w:val="20"/>
                <w:color w:val="000000"/>
              </w:rPr>
              <w:t>，并向甲方提交有效完整的勘察成果资料后</w:t>
            </w:r>
            <w:r>
              <w:rPr>
                <w:rFonts w:ascii="仿宋_GB2312" w:hAnsi="仿宋_GB2312" w:cs="仿宋_GB2312" w:eastAsia="仿宋_GB2312"/>
                <w:sz w:val="20"/>
                <w:color w:val="000000"/>
              </w:rPr>
              <w:t>，甲方向乙方支付</w:t>
            </w:r>
            <w:r>
              <w:rPr>
                <w:rFonts w:ascii="仿宋_GB2312" w:hAnsi="仿宋_GB2312" w:cs="仿宋_GB2312" w:eastAsia="仿宋_GB2312"/>
                <w:sz w:val="20"/>
                <w:color w:val="000000"/>
              </w:rPr>
              <w:t>剩余</w:t>
            </w:r>
            <w:r>
              <w:rPr>
                <w:rFonts w:ascii="仿宋_GB2312" w:hAnsi="仿宋_GB2312" w:cs="仿宋_GB2312" w:eastAsia="仿宋_GB2312"/>
                <w:sz w:val="20"/>
                <w:color w:val="000000"/>
              </w:rPr>
              <w:t>合同总价款的</w:t>
            </w:r>
            <w:r>
              <w:rPr>
                <w:rFonts w:ascii="仿宋_GB2312" w:hAnsi="仿宋_GB2312" w:cs="仿宋_GB2312" w:eastAsia="仿宋_GB2312"/>
                <w:sz w:val="20"/>
                <w:color w:val="000000"/>
              </w:rPr>
              <w:t>60%;在支付费用之前，</w:t>
            </w:r>
            <w:r>
              <w:rPr>
                <w:rFonts w:ascii="仿宋_GB2312" w:hAnsi="仿宋_GB2312" w:cs="仿宋_GB2312" w:eastAsia="仿宋_GB2312"/>
                <w:sz w:val="20"/>
                <w:color w:val="000000"/>
              </w:rPr>
              <w:t>乙方</w:t>
            </w:r>
            <w:r>
              <w:rPr>
                <w:rFonts w:ascii="仿宋_GB2312" w:hAnsi="仿宋_GB2312" w:cs="仿宋_GB2312" w:eastAsia="仿宋_GB2312"/>
                <w:sz w:val="20"/>
                <w:color w:val="000000"/>
              </w:rPr>
              <w:t>需提供等额的发票给</w:t>
            </w:r>
            <w:r>
              <w:rPr>
                <w:rFonts w:ascii="仿宋_GB2312" w:hAnsi="仿宋_GB2312" w:cs="仿宋_GB2312" w:eastAsia="仿宋_GB2312"/>
                <w:sz w:val="20"/>
                <w:color w:val="000000"/>
              </w:rPr>
              <w:t>甲方</w:t>
            </w:r>
            <w:r>
              <w:rPr>
                <w:rFonts w:ascii="仿宋_GB2312" w:hAnsi="仿宋_GB2312" w:cs="仿宋_GB2312" w:eastAsia="仿宋_GB2312"/>
                <w:sz w:val="20"/>
                <w:color w:val="000000"/>
              </w:rPr>
              <w:t>。</w:t>
            </w:r>
          </w:p>
          <w:p>
            <w:pPr>
              <w:pStyle w:val="null3"/>
              <w:spacing w:before="45"/>
              <w:ind w:left="480"/>
              <w:jc w:val="left"/>
            </w:pPr>
            <w:r>
              <w:rPr>
                <w:rFonts w:ascii="仿宋_GB2312" w:hAnsi="仿宋_GB2312" w:cs="仿宋_GB2312" w:eastAsia="仿宋_GB2312"/>
                <w:sz w:val="20"/>
                <w:color w:val="000000"/>
              </w:rPr>
              <w:t>2.2 结算方式：银行转账。</w:t>
            </w:r>
          </w:p>
          <w:p>
            <w:pPr>
              <w:pStyle w:val="null3"/>
              <w:spacing w:before="180"/>
              <w:ind w:firstLine="478"/>
              <w:jc w:val="left"/>
            </w:pPr>
            <w:r>
              <w:rPr>
                <w:rFonts w:ascii="仿宋_GB2312" w:hAnsi="仿宋_GB2312" w:cs="仿宋_GB2312" w:eastAsia="仿宋_GB2312"/>
                <w:sz w:val="20"/>
                <w:color w:val="000000"/>
              </w:rPr>
              <w:t>2.3 在甲方支付每笔款项前，乙方应提供符合甲方要求</w:t>
            </w:r>
            <w:r>
              <w:rPr>
                <w:rFonts w:ascii="仿宋_GB2312" w:hAnsi="仿宋_GB2312" w:cs="仿宋_GB2312" w:eastAsia="仿宋_GB2312"/>
                <w:sz w:val="20"/>
                <w:color w:val="000000"/>
              </w:rPr>
              <w:t>的合法税务发票。否则，甲方</w:t>
            </w:r>
            <w:r>
              <w:rPr>
                <w:rFonts w:ascii="仿宋_GB2312" w:hAnsi="仿宋_GB2312" w:cs="仿宋_GB2312" w:eastAsia="仿宋_GB2312"/>
                <w:sz w:val="20"/>
                <w:color w:val="000000"/>
              </w:rPr>
              <w:t>有权暂停支付相应款项。</w:t>
            </w:r>
          </w:p>
          <w:p>
            <w:pPr>
              <w:pStyle w:val="null3"/>
              <w:spacing w:before="180"/>
              <w:ind w:firstLine="478"/>
              <w:jc w:val="left"/>
            </w:pPr>
            <w:r>
              <w:rPr>
                <w:rFonts w:ascii="仿宋_GB2312" w:hAnsi="仿宋_GB2312" w:cs="仿宋_GB2312" w:eastAsia="仿宋_GB2312"/>
                <w:sz w:val="20"/>
                <w:color w:val="000000"/>
              </w:rPr>
              <w:t>注：供应商须完全响应此付款方式，否则按无效</w:t>
            </w:r>
            <w:r>
              <w:rPr>
                <w:rFonts w:ascii="仿宋_GB2312" w:hAnsi="仿宋_GB2312" w:cs="仿宋_GB2312" w:eastAsia="仿宋_GB2312"/>
                <w:sz w:val="20"/>
                <w:color w:val="000000"/>
              </w:rPr>
              <w:t>磋商</w:t>
            </w:r>
            <w:r>
              <w:rPr>
                <w:rFonts w:ascii="仿宋_GB2312" w:hAnsi="仿宋_GB2312" w:cs="仿宋_GB2312" w:eastAsia="仿宋_GB2312"/>
                <w:sz w:val="20"/>
                <w:color w:val="000000"/>
              </w:rPr>
              <w:t>处理。</w:t>
            </w:r>
          </w:p>
          <w:p>
            <w:pPr>
              <w:pStyle w:val="null3"/>
              <w:spacing w:before="180"/>
              <w:ind w:firstLine="478"/>
              <w:jc w:val="left"/>
            </w:pPr>
            <w:r>
              <w:rPr>
                <w:rFonts w:ascii="仿宋_GB2312" w:hAnsi="仿宋_GB2312" w:cs="仿宋_GB2312" w:eastAsia="仿宋_GB2312"/>
                <w:sz w:val="20"/>
                <w:color w:val="000000"/>
              </w:rPr>
              <w:t>3、质量要求：</w:t>
            </w:r>
            <w:r>
              <w:rPr>
                <w:rFonts w:ascii="仿宋_GB2312" w:hAnsi="仿宋_GB2312" w:cs="仿宋_GB2312" w:eastAsia="仿宋_GB2312"/>
                <w:sz w:val="20"/>
                <w:color w:val="000000"/>
              </w:rPr>
              <w:t>达到国家相关规范、行业标准及采购人要求。</w:t>
            </w:r>
          </w:p>
          <w:p>
            <w:pPr>
              <w:pStyle w:val="null3"/>
              <w:spacing w:before="180"/>
              <w:jc w:val="left"/>
            </w:pPr>
            <w:r>
              <w:rPr>
                <w:rFonts w:ascii="仿宋_GB2312" w:hAnsi="仿宋_GB2312" w:cs="仿宋_GB2312" w:eastAsia="仿宋_GB2312"/>
                <w:sz w:val="20"/>
                <w:color w:val="000000"/>
              </w:rPr>
              <w:t>4、违约责任：</w:t>
            </w:r>
          </w:p>
          <w:p>
            <w:pPr>
              <w:pStyle w:val="null3"/>
              <w:spacing w:before="180"/>
              <w:ind w:firstLine="478"/>
              <w:jc w:val="left"/>
            </w:pPr>
            <w:r>
              <w:rPr>
                <w:rFonts w:ascii="仿宋_GB2312" w:hAnsi="仿宋_GB2312" w:cs="仿宋_GB2312" w:eastAsia="仿宋_GB2312"/>
                <w:sz w:val="20"/>
                <w:color w:val="000000"/>
              </w:rPr>
              <w:t>4.1 按《民法典》等相关法律法规中的相关条款执行。</w:t>
            </w:r>
          </w:p>
          <w:p>
            <w:pPr>
              <w:pStyle w:val="null3"/>
              <w:spacing w:before="180"/>
              <w:ind w:firstLine="478"/>
              <w:jc w:val="left"/>
            </w:pPr>
            <w:r>
              <w:rPr>
                <w:rFonts w:ascii="仿宋_GB2312" w:hAnsi="仿宋_GB2312" w:cs="仿宋_GB2312" w:eastAsia="仿宋_GB2312"/>
                <w:sz w:val="20"/>
                <w:color w:val="000000"/>
              </w:rPr>
              <w:t>4.2 未按</w:t>
            </w:r>
            <w:r>
              <w:rPr>
                <w:rFonts w:ascii="仿宋_GB2312" w:hAnsi="仿宋_GB2312" w:cs="仿宋_GB2312" w:eastAsia="仿宋_GB2312"/>
                <w:sz w:val="20"/>
                <w:color w:val="000000"/>
              </w:rPr>
              <w:t>项目</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达到国家相关规范、行业标准及采购人要求</w:t>
            </w:r>
            <w:r>
              <w:rPr>
                <w:rFonts w:ascii="仿宋_GB2312" w:hAnsi="仿宋_GB2312" w:cs="仿宋_GB2312" w:eastAsia="仿宋_GB2312"/>
                <w:sz w:val="20"/>
                <w:color w:val="000000"/>
              </w:rPr>
              <w:t>，由成交供应商负责整改，并承担相关费用，由此引起一切经济损失及政治影响由成交供应商承担。</w:t>
            </w:r>
          </w:p>
          <w:p>
            <w:pPr>
              <w:pStyle w:val="null3"/>
              <w:spacing w:before="45"/>
              <w:jc w:val="left"/>
            </w:pPr>
            <w:r>
              <w:rPr>
                <w:rFonts w:ascii="仿宋_GB2312" w:hAnsi="仿宋_GB2312" w:cs="仿宋_GB2312" w:eastAsia="仿宋_GB2312"/>
                <w:sz w:val="20"/>
                <w:color w:val="000000"/>
              </w:rPr>
              <w:t>5、验收：</w:t>
            </w:r>
          </w:p>
          <w:p>
            <w:pPr>
              <w:pStyle w:val="null3"/>
              <w:spacing w:before="180"/>
              <w:ind w:firstLine="478"/>
              <w:jc w:val="left"/>
            </w:pPr>
            <w:r>
              <w:rPr>
                <w:rFonts w:ascii="仿宋_GB2312" w:hAnsi="仿宋_GB2312" w:cs="仿宋_GB2312" w:eastAsia="仿宋_GB2312"/>
                <w:sz w:val="20"/>
                <w:color w:val="000000"/>
              </w:rPr>
              <w:t>5.1 验收要求：</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国家标准、行业标准及采购人要求。</w:t>
            </w:r>
          </w:p>
          <w:p>
            <w:pPr>
              <w:pStyle w:val="null3"/>
              <w:spacing w:before="180"/>
              <w:ind w:firstLine="478"/>
              <w:jc w:val="left"/>
            </w:pPr>
            <w:r>
              <w:rPr>
                <w:rFonts w:ascii="仿宋_GB2312" w:hAnsi="仿宋_GB2312" w:cs="仿宋_GB2312" w:eastAsia="仿宋_GB2312"/>
                <w:sz w:val="20"/>
                <w:color w:val="000000"/>
              </w:rPr>
              <w:t>5.2 验收依据：经济合同、国家相关的标准和规范。</w:t>
            </w:r>
          </w:p>
          <w:p>
            <w:pPr>
              <w:pStyle w:val="null3"/>
              <w:spacing w:before="180"/>
              <w:jc w:val="left"/>
            </w:pPr>
            <w:r>
              <w:rPr>
                <w:rFonts w:ascii="仿宋_GB2312" w:hAnsi="仿宋_GB2312" w:cs="仿宋_GB2312" w:eastAsia="仿宋_GB2312"/>
                <w:sz w:val="20"/>
                <w:color w:val="000000"/>
              </w:rPr>
              <w:t>6、争议：在签订正式合同时具体约定。</w:t>
            </w:r>
          </w:p>
          <w:p>
            <w:pPr>
              <w:pStyle w:val="null3"/>
              <w:spacing w:before="180"/>
              <w:jc w:val="left"/>
            </w:pPr>
            <w:r>
              <w:rPr>
                <w:rFonts w:ascii="仿宋_GB2312" w:hAnsi="仿宋_GB2312" w:cs="仿宋_GB2312" w:eastAsia="仿宋_GB2312"/>
                <w:sz w:val="20"/>
                <w:color w:val="000000"/>
              </w:rPr>
              <w:t>7、其它要求：</w:t>
            </w:r>
          </w:p>
          <w:p>
            <w:pPr>
              <w:pStyle w:val="null3"/>
              <w:spacing w:before="180"/>
              <w:ind w:left="15" w:firstLine="472"/>
              <w:jc w:val="left"/>
            </w:pPr>
            <w:r>
              <w:rPr>
                <w:rFonts w:ascii="仿宋_GB2312" w:hAnsi="仿宋_GB2312" w:cs="仿宋_GB2312" w:eastAsia="仿宋_GB2312"/>
                <w:sz w:val="20"/>
                <w:color w:val="000000"/>
              </w:rPr>
              <w:t>7.1 成交供应商在服务实施过程中的安全责任由</w:t>
            </w:r>
            <w:r>
              <w:rPr>
                <w:rFonts w:ascii="仿宋_GB2312" w:hAnsi="仿宋_GB2312" w:cs="仿宋_GB2312" w:eastAsia="仿宋_GB2312"/>
                <w:sz w:val="20"/>
                <w:color w:val="000000"/>
              </w:rPr>
              <w:t>供应商负全责，采购人不承担任何安</w:t>
            </w:r>
            <w:r>
              <w:rPr>
                <w:rFonts w:ascii="仿宋_GB2312" w:hAnsi="仿宋_GB2312" w:cs="仿宋_GB2312" w:eastAsia="仿宋_GB2312"/>
                <w:sz w:val="20"/>
                <w:color w:val="000000"/>
              </w:rPr>
              <w:t>全责任。</w:t>
            </w:r>
          </w:p>
          <w:p>
            <w:pPr>
              <w:pStyle w:val="null3"/>
              <w:jc w:val="left"/>
            </w:pPr>
            <w:r>
              <w:rPr>
                <w:rFonts w:ascii="仿宋_GB2312" w:hAnsi="仿宋_GB2312" w:cs="仿宋_GB2312" w:eastAsia="仿宋_GB2312"/>
                <w:sz w:val="20"/>
                <w:color w:val="000000"/>
              </w:rPr>
              <w:t xml:space="preserve">     7.2 其它未尽事宜由采购人与成交供应商在采购合同中约</w:t>
            </w:r>
            <w:r>
              <w:rPr>
                <w:rFonts w:ascii="仿宋_GB2312" w:hAnsi="仿宋_GB2312" w:cs="仿宋_GB2312" w:eastAsia="仿宋_GB2312"/>
                <w:sz w:val="20"/>
                <w:color w:val="000000"/>
              </w:rPr>
              <w:t>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验收要求：符合国家标准、行业标准及采购人要求。 验收依据：经济合同、国家相关的标准和规范。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乙方完成本项目的勘察，并向甲方提交有效完整的勘察成果资料后，在支付费用之前，乙方需提供等额的发票给甲方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1.由于发包人未给勘察人提供必要的工作条件而造成停、窝工或来回进出场地，工期双方协商合理顺延。发包人还应向勘察人支付停工、窝工、来回进出场费等费用。 2.由于勘察人原因造成勘察成果资料质量不合格，不能满足技术要求时，其返工勘察费用由勘察人承担。 3.合同履行期间，由于工程停建而终止合同或发包人要求解除合同时，勘察人未进行勘察工作的，合同自动终止；勘察人正在进行勘察工作的，勘察工作停止，根据勘察实际完成情况支付已完成部分勘察费用。 3.由于勘察人原因未按合同规定时间（日期）提交勘察成果资料，每超过一日，应减收勘察费千分之一，超过十日的，发包人有权解除合同，并要求勘察人赔偿损失。 4. 发包人未按合同规定时间（日期）拨付勘察费，勘察人应向发包人发出书面催款通知，发包人收到书面催款通知之日起30日内仍未支付的，勘察人有权解除合同，并有权拒绝交付勘察成果。</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1、付款方式：合同签订后，甲方向乙方支付合同总金额的40%；乙方完成本项目的勘察，并向甲方提交有效完整的勘察成果资料后，甲方向乙方支付剩余合同总价款的 60%;在支付费用之前，乙方需提供等额的发票给甲方。（以此条为准） 2、代理服务费由成交单位在领取成交通知书时一次性支付。 3、代理服务费的计算方法：以成交价作为基数，参照发改价格[2011]534号文件及《国家发展改革委关于进一步放开建设项目专业服务价格的通知》（发改价格〔2015〕299号）文的规定标准收取。服务费可以采取银行转账或现金等方式支付。 4、以转账方式缴纳。 收款账户信息： 户名：中科经纬工程技术有限公司 地址：成都市青羊区敬业路218号15栋1楼1号 电话：028-67775960 统一社会信用代码：91510000MA61Y03R4K 开户银行：华夏银行股份有限公司成都分行 银行账号：11350000000923966 成交供应商在中标(成交)结果公告结束后3个工作日内向代理机构提供纸质版响应文件，响应文件为正本1份，副本2份，电子U盘1份(U盘内容包括Word版本、签字盖章扫描后的PDF版本响应文件及电子投标书)。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《政府采购促进中小企业发展管理办法》（财库〔2020〕46号）； （3）《财政部 司法部关于政府采购支持监狱企业发展有关问题的通知》（财库〔2014〕68号）； （4）《国务院办公厅关于建立政府强制采购节能产品制度的通知》（国发办〔2007〕51号）； （5）《关于印发节能产品政府采购品目清单的通知》（财库〔2019〕19号）； （6）《关于印发环境标志产品政府采购品目清单的通知》（财库〔2019〕18号）； （7）《三部门联合发布关于促进残疾人就业政府采购政策的通知》（财库〔2017〕141号）； （8）《财政部 发展改革委 生态环境部 市场监管总局关于调整优化节能产品、环境标志产品政府采购执行机制的通知》（财库〔2019〕9号）； （9）陕西省财政厅关于印发《陕西省中小企业政府采购信用融资办法》（陕财办采〔2018〕23号）； （10）《财政部 农业农村部 国家乡村振兴局关于运用政府采购政策支持乡村产业振兴的通知》（财库〔2021〕19 号）； （11）《财政部 农业农村部 国家乡村振兴局 中华全国供销合作总社关于印发&lt;关于深入开展政府采购脱贫地区农副产品工作推进乡村产业振兴的实施意见&gt;的通知》（财库〔2021〕20号）； （12）《陕西省财政厅关于加快推进我省中小企业政府采购信用融资工作的通知》（陕财办采〔2020〕15号）； （13）《关于进一步加强政府绿色采购有关问题的通知》（陕财办采〔2021〕29号）； （14）《陕西省财政厅、中国人民银行西安分行关于深入推进政府采购信用融资业务的通知》（陕财办采〔2023〕5号）； （15）其他需要落实的政府采购政策</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w:t>
            </w:r>
          </w:p>
        </w:tc>
        <w:tc>
          <w:tcPr>
            <w:tcW w:type="dxa" w:w="3322"/>
          </w:tcPr>
          <w:p>
            <w:pPr>
              <w:pStyle w:val="null3"/>
            </w:pPr>
            <w:r>
              <w:rPr>
                <w:rFonts w:ascii="仿宋_GB2312" w:hAnsi="仿宋_GB2312" w:cs="仿宋_GB2312" w:eastAsia="仿宋_GB2312"/>
              </w:rPr>
              <w:t>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供应商及项目负责人</w:t>
            </w:r>
          </w:p>
        </w:tc>
        <w:tc>
          <w:tcPr>
            <w:tcW w:type="dxa" w:w="3322"/>
          </w:tcPr>
          <w:p>
            <w:pPr>
              <w:pStyle w:val="null3"/>
            </w:pPr>
            <w:r>
              <w:rPr>
                <w:rFonts w:ascii="仿宋_GB2312" w:hAnsi="仿宋_GB2312" w:cs="仿宋_GB2312" w:eastAsia="仿宋_GB2312"/>
              </w:rPr>
              <w:t>供应商须具备工程勘察综合甲级资质或岩土工程勘察专业乙级及以上资质；拟派项目负责人须具备注册土木工程师(岩土)执业资格，并在本单位注册。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失信被执行人名单、重大税收违法失信主体、政府采购严重违法失信行为记录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供应商报价是固定价且未超过预算金额（采购文件有最高限价的，报价未超过最高限价）</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磋商报价表.docx 供应商资格证明文件.docx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现状理解及分析</w:t>
            </w:r>
          </w:p>
        </w:tc>
        <w:tc>
          <w:tcPr>
            <w:tcW w:type="dxa" w:w="2492"/>
          </w:tcPr>
          <w:p>
            <w:pPr>
              <w:pStyle w:val="null3"/>
            </w:pPr>
            <w:r>
              <w:rPr>
                <w:rFonts w:ascii="仿宋_GB2312" w:hAnsi="仿宋_GB2312" w:cs="仿宋_GB2312" w:eastAsia="仿宋_GB2312"/>
              </w:rPr>
              <w:t>项目理解到位、分析准确，掌握项目各项工作要求，任务分析全面完善，计12分； 项目理解基本准确，了解项目相关情况，基本掌握项目各项工作要求，任务分析基本全面，计9分； 项目理解有欠缺，相关情况了解有欠缺，掌握项目基础工作要求，任务分析片面，计7分； 项目理解不准确，任务分析有欠缺，计3分； 其他或未提供不得分。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项目总体勘察思路</w:t>
            </w:r>
          </w:p>
        </w:tc>
        <w:tc>
          <w:tcPr>
            <w:tcW w:type="dxa" w:w="2492"/>
          </w:tcPr>
          <w:p>
            <w:pPr>
              <w:pStyle w:val="null3"/>
            </w:pPr>
            <w:r>
              <w:rPr>
                <w:rFonts w:ascii="仿宋_GB2312" w:hAnsi="仿宋_GB2312" w:cs="仿宋_GB2312" w:eastAsia="仿宋_GB2312"/>
              </w:rPr>
              <w:t>思路合理、严谨、清晰，方案完整，描述详尽，针对性、可行性强，得13分； 思路较合理、清晰，方案较完整，描述清晰，针对性、可行性一般，得9分； 思路基本明确、合理，方案普遍通用，描述简单，针对性、可行性一般，得7分； 思路需进一步梳理，方案不完整，描述模糊，针对性、可行性欠缺，得3分； 其他或未提供不得分。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A.人员组织架构完整，岗位设置合理、明确，技术人员专业性、经验性强，且对本项目有针对性，得8分； B.人员组织架构有待优化，技术人员岗位设置基本合理，人员专业性、经验性一般，得5分； C.人员组织架构不完整，人员岗位设置紧张，技术人员专业性、经验性欠缺，得2分； D.其他或未提供得0分。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人员配备措施.docx</w:t>
            </w:r>
          </w:p>
        </w:tc>
      </w:tr>
      <w:tr>
        <w:tc>
          <w:tcPr>
            <w:tcW w:type="dxa" w:w="831"/>
            <w:vMerge/>
          </w:tcPr>
          <w:p/>
        </w:tc>
        <w:tc>
          <w:tcPr>
            <w:tcW w:type="dxa" w:w="1661"/>
          </w:tcPr>
          <w:p>
            <w:pPr>
              <w:pStyle w:val="null3"/>
            </w:pPr>
            <w:r>
              <w:rPr>
                <w:rFonts w:ascii="仿宋_GB2312" w:hAnsi="仿宋_GB2312" w:cs="仿宋_GB2312" w:eastAsia="仿宋_GB2312"/>
              </w:rPr>
              <w:t>进度计划及保障</w:t>
            </w:r>
          </w:p>
        </w:tc>
        <w:tc>
          <w:tcPr>
            <w:tcW w:type="dxa" w:w="2492"/>
          </w:tcPr>
          <w:p>
            <w:pPr>
              <w:pStyle w:val="null3"/>
            </w:pPr>
            <w:r>
              <w:rPr>
                <w:rFonts w:ascii="仿宋_GB2312" w:hAnsi="仿宋_GB2312" w:cs="仿宋_GB2312" w:eastAsia="仿宋_GB2312"/>
              </w:rPr>
              <w:t>根据工作进度计划安排的合理性、与本项目实际情况的符合性，进度保证措施的可靠性、可实施性进行评分： A.进度安排合理可行，进度保证措施详细、工作节点清晰，得10分； B.进度安排基本合理，进度保证措施不明确，需进一步协调，得6分； C.进度安排不合理，进度保证措施简单，得3分； D.其他或未提供得0分。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A.质量保障措施描述严谨、完整合理、切实可行，针对性、可行性强，得10分； B.质量保障措施描述清晰但不够完整，基本合理性，针对性、可行性一般，得7分； C.质量保障措施描述简单，合理性、严谨度一般，针对性、可行性一般，得4分； D.质量保障措施描述不够清晰，合理性一般，针对性、可行性欠缺，得2分； E.其他或未提供得0分。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对项目重难点、关键性技术问题的认识及其对策措施： A.对项目重难点、关键性技术问题的把握准确、分析到位，所提供的对策措施完善，有较强的针对性，得7分； B.对项目重难点、关键性技术问题的把握基本准确、分析简单，所提供的对策措施合理，有一定的针对性，得5分； C.对项目重难点、关键性技术问题的把握有偏差、分析欠缺，所提供的对策措施简单普遍，对本项目没有针对性，得3分。 D.其他或未提供得0分。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日至今类似项目业绩，1个得6分，最高12分。（以合同或协议签订日期为准，响应文件中附加盖公章的合同或协议复印件，否则不作为评审依据）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A.承诺内容全面，描述详尽，针对性、可行性强，得8分； B.承诺内容较全面，描述较详尽，针对性、可行性一般，得6分； C.承诺内容简单，描述粗略，针对性、可行性一般得4分； D.承诺内容简单笼统，针对性、可行性欠缺，得2分；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供应商认为有必要说明的其他资料.docx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商务条款偏离表.docx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详见附件：人员配备措施.docx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详见附件：勘察合同最终.docx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