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版本号：JXRC-25031420250408001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病房改造及能力提升设计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JXRC-250314</w:t>
      </w:r>
      <w:r>
        <w:br/>
      </w:r>
      <w:r>
        <w:br/>
      </w:r>
      <w:r>
        <w:br/>
      </w:r>
    </w:p>
    <w:p>
      <w:pPr>
        <w:pStyle w:val="null3"/>
        <w:jc w:val="center"/>
        <w:outlineLvl w:val="2"/>
      </w:pPr>
      <w:r>
        <w:rPr>
          <w:rFonts w:ascii="仿宋_GB2312" w:hAnsi="仿宋_GB2312" w:cs="仿宋_GB2312" w:eastAsia="仿宋_GB2312"/>
          <w:sz w:val="28"/>
          <w:b/>
        </w:rPr>
        <w:t>西安市长安区妇幼保健计划生育服务中心</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西安市长安区妇幼保健计划生育服务中心</w:t>
      </w:r>
      <w:r>
        <w:rPr>
          <w:rFonts w:ascii="仿宋_GB2312" w:hAnsi="仿宋_GB2312" w:cs="仿宋_GB2312" w:eastAsia="仿宋_GB2312"/>
        </w:rPr>
        <w:t>委托，拟对</w:t>
      </w:r>
      <w:r>
        <w:rPr>
          <w:rFonts w:ascii="仿宋_GB2312" w:hAnsi="仿宋_GB2312" w:cs="仿宋_GB2312" w:eastAsia="仿宋_GB2312"/>
        </w:rPr>
        <w:t>病房改造及能力提升设计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JXRC-250314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病房改造及能力提升设计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1、建设目标 项目建设目标为提高长安区妇幼保健计划生育服务中心整体医疗服务质量，确保为妇女和儿童提供更加安全、高效的医疗保健服务。项目致力于改善医院内部和信息化管理环境，包括病房布局、设施配置，提升门诊、住院、医技、儿保、妇保等科室就诊环境，以营造更加舒适、温馨的就诊氛围。改善现有给排水、强弱电、暖通、供氧、医疗废水、消防设施及无障碍建设等，有助于确保基础设施的正常运行和安全性，减少因设施故障而导致的医疗风险。同时，这也将促进医疗资源的优化配置和医疗服务体系的完善，为推动长安区妇幼保健医疗卫生事业的发展做出积极贡献。 2、建设任务 该项目统筹考虑医院改造提升内容、项目工期和运行费用承受能力等实际情况，按照“因地制宜、分类推进”的原则，有序推进项目建设工作。计划用 18 个月时间高质量完成项目所涉及建设内容（门头改造，屋面防水，楼体加固，医院场地硬化，加装电梯，安装中央空调及新风系统，改造厕所及化粪池，信息化建设（含设备购置），改善现有给排水、强弱电、暖通、供氧、医疗废水、消防设施及无障碍建设等）的全面实施。 3、 建设地点 项目建设地址位于西安市长安区青年南街 125 号长安区妇幼保健计划生育服务中心（长安区妇幼保健院内）。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采购包1（病房改造及能力提升设计）：属于专门面向中小企业采购。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供应商应有良好的财务状况：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供应商应有依法缴纳税收的良好记录：法人提供自2024年9月1日以来至少一个月的纳税证明或完税证明，纳税证明或完税证明上应有代收机构或税务机关的公章或业务专用章；其他组织和自然人提供自2024年9月1日以来至少一个月缴纳税收的凭据；依法免税的供应商应提供相关文件证明；并进行电子签章。</w:t>
      </w:r>
    </w:p>
    <w:p>
      <w:pPr>
        <w:pStyle w:val="null3"/>
      </w:pPr>
      <w:r>
        <w:rPr>
          <w:rFonts w:ascii="仿宋_GB2312" w:hAnsi="仿宋_GB2312" w:cs="仿宋_GB2312" w:eastAsia="仿宋_GB2312"/>
        </w:rPr>
        <w:t>4、供应商应有依法缴纳社会保障资金的良好记录：提供自2024年9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5、法定代表授权书：法定代表人/负责人直接参加的，只须递交《法定代表人/负责人身份证明》；法定代表人/负责人授权代表参加的，须递交《法定代表人/负责人授权书》；并进行电子签章。</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6、参加本次政府采购活动前三年内，在经营活动中没有重大违法记录：供应商需提供《无重大违法记录声明》完成承诺；并进行电子签章。</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7、供应商应具有履行合同所必需的设备和专业技术能力：供应商需提供《具有履行合同所必需的设备和专业技术能力的承诺书》完成承诺；并进行电子签章。</w:t>
      </w:r>
    </w:p>
    <w:p>
      <w:pPr>
        <w:pStyle w:val="null3"/>
      </w:pPr>
      <w:r>
        <w:rPr>
          <w:rFonts w:ascii="仿宋_GB2312" w:hAnsi="仿宋_GB2312" w:cs="仿宋_GB2312" w:eastAsia="仿宋_GB2312"/>
        </w:rPr>
        <w:t>8、企业设计资质：具有建设行政主管部门核发的有效的工程设计综合甲级资质或建筑行业工程设计乙级及以上资质或建筑行业（建筑工程专业）乙级及以上或市政公用行业设计乙级及以上资质；提供证书复印件；进行电子签章。</w:t>
      </w:r>
    </w:p>
    <w:p>
      <w:pPr>
        <w:pStyle w:val="null3"/>
      </w:pPr>
      <w:r>
        <w:rPr>
          <w:rFonts w:ascii="仿宋_GB2312" w:hAnsi="仿宋_GB2312" w:cs="仿宋_GB2312" w:eastAsia="仿宋_GB2312"/>
        </w:rPr>
        <w:t>9、拟派设计负责人资质：拟派设计负责人具有二级及以上注册建筑师执业资格且在本单位注册；提供证书复印件；进行电子签章。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长安区韦曲街道青年南街125号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西安市长安区妇幼保健计划生育服务中心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西安市长安区妇幼保健计划生育服务中心</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1、建设目标 项目建设目标为提高长安区妇幼保健计划生育服务中心整体医疗服务质量，确保为妇女和儿童提供更加安全、高效的医疗保健服务。项目致力于改善医院内部和信息化管理环境，包括病房布局、设施配置，提升门诊、住院、医技、儿保、妇保等科室就诊环境，以营造更加舒适、温馨的就诊氛围。改善现有给排水、强弱电、暖通、供氧、医疗废水、消防设施及无障碍建设等，有助于确保基础设施的正常运行和安全性，减少因设施故障而导致的医疗风险。同时，这也将促进医疗资源的优化配置和医疗服务体系的完善，为推动长安区妇幼保健医疗卫生事业的发展做出积极贡献。 2、建设任务 该项目统筹考虑医院改造提升内容、项目工期和运行费用承受能力等实际情况，按照“因地制宜、分类推进”的原则，有序推进项目建设工作。计划用 18 个月时间高质量完成项目所涉及建设内容（门头改造，屋面防水，楼体加固，医院场地硬化，加装电梯，安装中央空调及新风系统，改造厕所及化粪池，信息化建设（含设备购置），改善现有给排水、强弱电、暖通、供氧、医疗废水、消防设施及无障碍建设等）的全面实施。 3、 建设地点 项目建设地址位于西安市长安区青年南街 125 号长安区妇幼保健计划生育服务中心（长安区妇幼保健院内）。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病房改造及能力提升设计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标的名称：病房改造及能力提升设计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总体要求</w:t>
            </w:r>
          </w:p>
        </w:tc>
        <w:tc>
          <w:tcPr>
            <w:tcW w:type="dxa" w:w="2076"/>
          </w:tcPr>
          <w:p>
            <w:pPr>
              <w:pStyle w:val="null3"/>
              <w:jc w:val="both"/>
            </w:pPr>
            <w:r>
              <w:rPr>
                <w:rFonts w:ascii="仿宋_GB2312" w:hAnsi="仿宋_GB2312" w:cs="仿宋_GB2312" w:eastAsia="仿宋_GB2312"/>
                <w:sz w:val="24"/>
              </w:rPr>
              <w:t>（1）规划设计要深入调查、充分考虑就诊环境、掌握医院的发展规律与模式，具有创意新颖、理念超前、格调明快、技术先进、布局合理的鲜明特点。</w:t>
            </w:r>
          </w:p>
          <w:p>
            <w:pPr>
              <w:pStyle w:val="null3"/>
              <w:jc w:val="both"/>
            </w:pPr>
            <w:r>
              <w:rPr>
                <w:rFonts w:ascii="仿宋_GB2312" w:hAnsi="仿宋_GB2312" w:cs="仿宋_GB2312" w:eastAsia="仿宋_GB2312"/>
                <w:sz w:val="24"/>
              </w:rPr>
              <w:t>（2）合理划分功能分区，实现功能及空间“共享”，并留出弹性发展空间。</w:t>
            </w:r>
          </w:p>
          <w:p>
            <w:pPr>
              <w:pStyle w:val="null3"/>
              <w:jc w:val="both"/>
            </w:pPr>
            <w:r>
              <w:rPr>
                <w:rFonts w:ascii="仿宋_GB2312" w:hAnsi="仿宋_GB2312" w:cs="仿宋_GB2312" w:eastAsia="仿宋_GB2312"/>
                <w:sz w:val="24"/>
              </w:rPr>
              <w:t>（3）要注结合医院历史文化，体现医院特有的个性环境理念和文化内涵。</w:t>
            </w:r>
          </w:p>
          <w:p>
            <w:pPr>
              <w:pStyle w:val="null3"/>
            </w:pPr>
            <w:r>
              <w:rPr>
                <w:rFonts w:ascii="仿宋_GB2312" w:hAnsi="仿宋_GB2312" w:cs="仿宋_GB2312" w:eastAsia="仿宋_GB2312"/>
                <w:sz w:val="24"/>
              </w:rPr>
              <w:t>（4）要考虑医院环境及建筑的生态节能设计。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规划内容</w:t>
            </w:r>
          </w:p>
        </w:tc>
        <w:tc>
          <w:tcPr>
            <w:tcW w:type="dxa" w:w="2076"/>
          </w:tcPr>
          <w:p>
            <w:pPr>
              <w:pStyle w:val="null3"/>
            </w:pPr>
            <w:r>
              <w:rPr>
                <w:rFonts w:ascii="仿宋_GB2312" w:hAnsi="仿宋_GB2312" w:cs="仿宋_GB2312" w:eastAsia="仿宋_GB2312"/>
                <w:sz w:val="24"/>
              </w:rPr>
              <w:t>项目改造面积约 5980 ㎡，包括改善现有住院病房 27 间（60 张床位），改造原有医疗办公用房为新生儿病房及综合病房 25 间（50张床位），床位增加至 110 张。提升门诊、住院、医技、儿保、妇保等科室就诊环境，增设危重孕产妇及新生儿抢救室、重症监护室、放射科检查室。项目改造门头，屋面防水，楼体加固，医院场地硬化，加装电梯，安装中央空调及新风系统，改造厕所及化粪池，信息化建设（含设备购置），改善现有给排水、强弱电、暖通、供氧、医疗废水、消防设施及无障碍建设等。</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规划设计依据</w:t>
            </w:r>
          </w:p>
        </w:tc>
        <w:tc>
          <w:tcPr>
            <w:tcW w:type="dxa" w:w="2076"/>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）《妇幼健康服务机构建设标准》（建标</w:t>
            </w:r>
            <w:r>
              <w:rPr>
                <w:rFonts w:ascii="仿宋_GB2312" w:hAnsi="仿宋_GB2312" w:cs="仿宋_GB2312" w:eastAsia="仿宋_GB2312"/>
                <w:sz w:val="24"/>
              </w:rPr>
              <w:t xml:space="preserve"> 189-2017</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）《妇幼保健机构医用设备配备标准》（</w:t>
            </w:r>
            <w:r>
              <w:rPr>
                <w:rFonts w:ascii="仿宋_GB2312" w:hAnsi="仿宋_GB2312" w:cs="仿宋_GB2312" w:eastAsia="仿宋_GB2312"/>
                <w:sz w:val="24"/>
              </w:rPr>
              <w:t>WS/T 793-2022</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）《妇幼保健服务信息系统基本功能规范》（</w:t>
            </w:r>
            <w:r>
              <w:rPr>
                <w:rFonts w:ascii="仿宋_GB2312" w:hAnsi="仿宋_GB2312" w:cs="仿宋_GB2312" w:eastAsia="仿宋_GB2312"/>
                <w:sz w:val="24"/>
              </w:rPr>
              <w:t>WS/T 526-2016</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）《儿童医院建设标准》（建标</w:t>
            </w:r>
            <w:r>
              <w:rPr>
                <w:rFonts w:ascii="仿宋_GB2312" w:hAnsi="仿宋_GB2312" w:cs="仿宋_GB2312" w:eastAsia="仿宋_GB2312"/>
                <w:sz w:val="24"/>
              </w:rPr>
              <w:t xml:space="preserve"> 174-2016</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）《医院电力系统消防安全管理标准》（</w:t>
            </w:r>
            <w:r>
              <w:rPr>
                <w:rFonts w:ascii="仿宋_GB2312" w:hAnsi="仿宋_GB2312" w:cs="仿宋_GB2312" w:eastAsia="仿宋_GB2312"/>
                <w:sz w:val="24"/>
              </w:rPr>
              <w:t>WS/T 820-2023</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）《医院建筑绿色改造技术规程》（</w:t>
            </w:r>
            <w:r>
              <w:rPr>
                <w:rFonts w:ascii="仿宋_GB2312" w:hAnsi="仿宋_GB2312" w:cs="仿宋_GB2312" w:eastAsia="仿宋_GB2312"/>
                <w:sz w:val="24"/>
              </w:rPr>
              <w:t>T/CECS 609-2019</w:t>
            </w:r>
            <w:r>
              <w:rPr>
                <w:rFonts w:ascii="仿宋_GB2312" w:hAnsi="仿宋_GB2312" w:cs="仿宋_GB2312" w:eastAsia="仿宋_GB2312"/>
                <w:sz w:val="24"/>
              </w:rPr>
              <w:t>）；</w:t>
            </w:r>
          </w:p>
          <w:p>
            <w:pPr>
              <w:pStyle w:val="null3"/>
            </w:pPr>
            <w:r>
              <w:rPr>
                <w:rFonts w:ascii="仿宋_GB2312" w:hAnsi="仿宋_GB2312" w:cs="仿宋_GB2312" w:eastAsia="仿宋_GB2312"/>
                <w:sz w:val="24"/>
              </w:rPr>
              <w:t>（7）</w:t>
            </w:r>
            <w:r>
              <w:rPr>
                <w:rFonts w:ascii="仿宋_GB2312" w:hAnsi="仿宋_GB2312" w:cs="仿宋_GB2312" w:eastAsia="仿宋_GB2312"/>
                <w:sz w:val="24"/>
              </w:rPr>
              <w:t>《建筑抗震设计标准》（</w:t>
            </w:r>
            <w:r>
              <w:rPr>
                <w:rFonts w:ascii="仿宋_GB2312" w:hAnsi="仿宋_GB2312" w:cs="仿宋_GB2312" w:eastAsia="仿宋_GB2312"/>
                <w:sz w:val="24"/>
              </w:rPr>
              <w:t xml:space="preserve">2024 </w:t>
            </w:r>
            <w:r>
              <w:rPr>
                <w:rFonts w:ascii="仿宋_GB2312" w:hAnsi="仿宋_GB2312" w:cs="仿宋_GB2312" w:eastAsia="仿宋_GB2312"/>
                <w:sz w:val="24"/>
              </w:rPr>
              <w:t>年版）；</w:t>
            </w:r>
          </w:p>
          <w:p>
            <w:pPr>
              <w:pStyle w:val="null3"/>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）《建筑结构荷载规范》（</w:t>
            </w:r>
            <w:r>
              <w:rPr>
                <w:rFonts w:ascii="仿宋_GB2312" w:hAnsi="仿宋_GB2312" w:cs="仿宋_GB2312" w:eastAsia="仿宋_GB2312"/>
                <w:sz w:val="24"/>
              </w:rPr>
              <w:t>GB 50009-2012</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）《油漆与粉刷作业安全规范》（</w:t>
            </w:r>
            <w:r>
              <w:rPr>
                <w:rFonts w:ascii="仿宋_GB2312" w:hAnsi="仿宋_GB2312" w:cs="仿宋_GB2312" w:eastAsia="仿宋_GB2312"/>
                <w:sz w:val="24"/>
              </w:rPr>
              <w:t>AQ 5205-2008</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）《建筑给水排水设计规范》（</w:t>
            </w:r>
            <w:r>
              <w:rPr>
                <w:rFonts w:ascii="仿宋_GB2312" w:hAnsi="仿宋_GB2312" w:cs="仿宋_GB2312" w:eastAsia="仿宋_GB2312"/>
                <w:sz w:val="24"/>
              </w:rPr>
              <w:t>GB 50015-2019</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）《建筑照明设计标准》（</w:t>
            </w:r>
            <w:r>
              <w:rPr>
                <w:rFonts w:ascii="仿宋_GB2312" w:hAnsi="仿宋_GB2312" w:cs="仿宋_GB2312" w:eastAsia="仿宋_GB2312"/>
                <w:sz w:val="24"/>
              </w:rPr>
              <w:t>GB 50034-2024</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）《建筑地面设计规范》（</w:t>
            </w:r>
            <w:r>
              <w:rPr>
                <w:rFonts w:ascii="仿宋_GB2312" w:hAnsi="仿宋_GB2312" w:cs="仿宋_GB2312" w:eastAsia="仿宋_GB2312"/>
                <w:sz w:val="24"/>
              </w:rPr>
              <w:t>GB50037-2013</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）《公共建筑节能设计标准》（</w:t>
            </w:r>
            <w:r>
              <w:rPr>
                <w:rFonts w:ascii="仿宋_GB2312" w:hAnsi="仿宋_GB2312" w:cs="仿宋_GB2312" w:eastAsia="仿宋_GB2312"/>
                <w:sz w:val="24"/>
              </w:rPr>
              <w:t>GB50189-2015</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）《给水排水工程管道结构设计规范》（</w:t>
            </w:r>
            <w:r>
              <w:rPr>
                <w:rFonts w:ascii="仿宋_GB2312" w:hAnsi="仿宋_GB2312" w:cs="仿宋_GB2312" w:eastAsia="仿宋_GB2312"/>
                <w:sz w:val="24"/>
              </w:rPr>
              <w:t>GB50332-2002</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）《建设工程施工现场供用电安全规范》（</w:t>
            </w:r>
            <w:r>
              <w:rPr>
                <w:rFonts w:ascii="仿宋_GB2312" w:hAnsi="仿宋_GB2312" w:cs="仿宋_GB2312" w:eastAsia="仿宋_GB2312"/>
                <w:sz w:val="24"/>
              </w:rPr>
              <w:t>GB50194-2014</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）《电力工程电缆设计规范》（</w:t>
            </w:r>
            <w:r>
              <w:rPr>
                <w:rFonts w:ascii="仿宋_GB2312" w:hAnsi="仿宋_GB2312" w:cs="仿宋_GB2312" w:eastAsia="仿宋_GB2312"/>
                <w:sz w:val="24"/>
              </w:rPr>
              <w:t>GB50217-2018</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）《供配电系统设计规范》（</w:t>
            </w:r>
            <w:r>
              <w:rPr>
                <w:rFonts w:ascii="仿宋_GB2312" w:hAnsi="仿宋_GB2312" w:cs="仿宋_GB2312" w:eastAsia="仿宋_GB2312"/>
                <w:sz w:val="24"/>
              </w:rPr>
              <w:t>GB50052-2009</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）政府相关建设要求，</w:t>
            </w:r>
          </w:p>
          <w:p>
            <w:pPr>
              <w:pStyle w:val="null3"/>
            </w:pPr>
            <w:r>
              <w:rPr>
                <w:rFonts w:ascii="仿宋_GB2312" w:hAnsi="仿宋_GB2312" w:cs="仿宋_GB2312" w:eastAsia="仿宋_GB2312"/>
                <w:sz w:val="24"/>
              </w:rPr>
              <w:t>（19）国家及地方其他相关现行技术规范、标准。</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设计服务要求</w:t>
            </w:r>
          </w:p>
        </w:tc>
        <w:tc>
          <w:tcPr>
            <w:tcW w:type="dxa" w:w="2076"/>
          </w:tcPr>
          <w:p>
            <w:pPr>
              <w:pStyle w:val="null3"/>
            </w:pPr>
            <w:r>
              <w:rPr>
                <w:rFonts w:ascii="仿宋_GB2312" w:hAnsi="仿宋_GB2312" w:cs="仿宋_GB2312" w:eastAsia="仿宋_GB2312"/>
                <w:sz w:val="24"/>
              </w:rPr>
              <w:t>（1）根据院方使用的相关要求提供概念性方案。</w:t>
            </w:r>
          </w:p>
          <w:p>
            <w:pPr>
              <w:pStyle w:val="null3"/>
            </w:pPr>
            <w:r>
              <w:rPr>
                <w:rFonts w:ascii="仿宋_GB2312" w:hAnsi="仿宋_GB2312" w:cs="仿宋_GB2312" w:eastAsia="仿宋_GB2312"/>
                <w:sz w:val="24"/>
              </w:rPr>
              <w:t>（2）依据确认的概念性方案进行深化设计方案。</w:t>
            </w:r>
          </w:p>
          <w:p>
            <w:pPr>
              <w:pStyle w:val="null3"/>
            </w:pPr>
            <w:r>
              <w:rPr>
                <w:rFonts w:ascii="仿宋_GB2312" w:hAnsi="仿宋_GB2312" w:cs="仿宋_GB2312" w:eastAsia="仿宋_GB2312"/>
                <w:sz w:val="24"/>
              </w:rPr>
              <w:t>（3）依据确认的设计方案进行施工图设计。</w:t>
            </w:r>
          </w:p>
          <w:p>
            <w:pPr>
              <w:pStyle w:val="null3"/>
            </w:pPr>
            <w:r>
              <w:rPr>
                <w:rFonts w:ascii="仿宋_GB2312" w:hAnsi="仿宋_GB2312" w:cs="仿宋_GB2312" w:eastAsia="仿宋_GB2312"/>
                <w:sz w:val="24"/>
              </w:rPr>
              <w:t>（4）后续配合服务。</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设计成果</w:t>
            </w:r>
          </w:p>
        </w:tc>
        <w:tc>
          <w:tcPr>
            <w:tcW w:type="dxa" w:w="2076"/>
          </w:tcPr>
          <w:p>
            <w:pPr>
              <w:pStyle w:val="null3"/>
            </w:pPr>
            <w:r>
              <w:rPr>
                <w:rFonts w:ascii="仿宋_GB2312" w:hAnsi="仿宋_GB2312" w:cs="仿宋_GB2312" w:eastAsia="仿宋_GB2312"/>
                <w:sz w:val="24"/>
              </w:rPr>
              <w:t>（1）根据工程项目特点，对概念性方案、深化设计、施工图设计及后续服务做具体规定。</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）按照《建筑工程设计文件编制深度规定》等相关规定提供设计文件。</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）在方案设计中与采购人深入讨论，必要时提供效果图。</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）过程配合及后续服务。</w:t>
            </w:r>
          </w:p>
          <w:p>
            <w:pPr>
              <w:pStyle w:val="null3"/>
            </w:pPr>
            <w:r>
              <w:rPr>
                <w:rFonts w:ascii="仿宋_GB2312" w:hAnsi="仿宋_GB2312" w:cs="仿宋_GB2312" w:eastAsia="仿宋_GB2312"/>
                <w:sz w:val="24"/>
              </w:rPr>
              <w:t>（5）设计文件需交付8份。</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4"/>
              </w:rPr>
              <w:t>（1）参加各设计阶段的方案评审并根据客户及专家意见进行修改调整；</w:t>
            </w:r>
          </w:p>
          <w:p>
            <w:pPr>
              <w:pStyle w:val="null3"/>
            </w:pPr>
            <w:r>
              <w:rPr>
                <w:rFonts w:ascii="仿宋_GB2312" w:hAnsi="仿宋_GB2312" w:cs="仿宋_GB2312" w:eastAsia="仿宋_GB2312"/>
                <w:sz w:val="24"/>
              </w:rPr>
              <w:t>（2）施工阶段的设计交底，设计变更配合，施工验收等施工过程中可能存在的各阶段技术相关问题；</w:t>
            </w:r>
          </w:p>
          <w:p>
            <w:pPr>
              <w:pStyle w:val="null3"/>
            </w:pPr>
            <w:r>
              <w:rPr>
                <w:rFonts w:ascii="仿宋_GB2312" w:hAnsi="仿宋_GB2312" w:cs="仿宋_GB2312" w:eastAsia="仿宋_GB2312"/>
                <w:sz w:val="24"/>
              </w:rPr>
              <w:t>（3）协助提供工程资料整理归档服务；</w:t>
            </w:r>
          </w:p>
          <w:p>
            <w:pPr>
              <w:pStyle w:val="null3"/>
            </w:pPr>
            <w:r>
              <w:rPr>
                <w:rFonts w:ascii="仿宋_GB2312" w:hAnsi="仿宋_GB2312" w:cs="仿宋_GB2312" w:eastAsia="仿宋_GB2312"/>
                <w:sz w:val="24"/>
              </w:rPr>
              <w:t>（4）供应商协助采购人完成相关建设项目报批手续。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自合同签订后30个日历日内提交成果文件。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西安市长安区青年南街 125 号长安区妇幼保健计划生育服务中心（长安区妇幼保健院内）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供应商完成初步设计方案 ，并经过采购人确认后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供应商施工图设计文件完成后，并经过采购人确认后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工程竣工验收合格后，并经过采购人确认后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本合同、采购文件、响应文件等相关文件服务要求的，采购人有权解除合同（合同自书面解除通知到达供应商之日起解除），供应商应按照合同总价的30%向采购人支付违约金；若违约金不足以弥补采购人所受损失，则采购人可以要求供应商赔偿解除合同的全部损失（包括但不限于律师费、包括但不限于重新采购产生的费用、合同未履行导致项目不能按规划提供可能产生的服务费用）。同时按《政府采购法》有关处罚条款报监管机构进行相应的处罚。 3、服务期内，供应商每推迟或未提供服务1天，扣合同总价的平均单价（合同总价/服务期=平均单价），并扣合同总价的3‰作为违约金。累计超过10天的，视为供应商根本违约，采购人有权单方解除合同（合同自书面解除通知送达供应商之日起解除），供应商应按照合同总价的30%向采购人支付违约金，若违约金不足以弥补解除合同给采购人造成的全部损失（包括但不限于重新采购产生的费用、合同未履行导致项目不能按规划提供可能产生的服务费用），由供应商另行支付。 4、由于供应商服务人员故意、过失或其他原因造成采购人设备配件损坏，供应商负责免费修复或更换配件，无法修复的，供应商应按原价赔偿。 5、在合同期限内，供应商不得擅自转包、分包本合同项下的合同义务，否则采购人有权单方解除本合同并有权要求供应商按照本条第（二）款的规定承担根本违约责任。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2024年9月1日以来至少一个月的纳税证明或完税证明，纳税证明或完税证明上应有代收机构或税务机关的公章或业务专用章；其他组织和自然人提供自2024年9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2024年9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企业设计资质</w:t>
            </w:r>
          </w:p>
        </w:tc>
        <w:tc>
          <w:tcPr>
            <w:tcW w:type="dxa" w:w="3322"/>
          </w:tcPr>
          <w:p>
            <w:pPr>
              <w:pStyle w:val="null3"/>
            </w:pPr>
            <w:r>
              <w:rPr>
                <w:rFonts w:ascii="仿宋_GB2312" w:hAnsi="仿宋_GB2312" w:cs="仿宋_GB2312" w:eastAsia="仿宋_GB2312"/>
              </w:rPr>
              <w:t>具有建设行政主管部门核发的有效的工程设计综合甲级资质或建筑行业工程设计乙级及以上资质或建筑行业（建筑工程专业）乙级及以上或市政公用行业设计乙级及以上资质；提供证书复印件；进行电子签章。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拟派设计负责人资质</w:t>
            </w:r>
          </w:p>
        </w:tc>
        <w:tc>
          <w:tcPr>
            <w:tcW w:type="dxa" w:w="3322"/>
          </w:tcPr>
          <w:p>
            <w:pPr>
              <w:pStyle w:val="null3"/>
            </w:pPr>
            <w:r>
              <w:rPr>
                <w:rFonts w:ascii="仿宋_GB2312" w:hAnsi="仿宋_GB2312" w:cs="仿宋_GB2312" w:eastAsia="仿宋_GB2312"/>
              </w:rPr>
              <w:t>拟派设计负责人具有二级及以上注册建筑师执业资格且在本单位注册；提供证书复印件；进行电子签章。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响应文件封面 其他材料 供应商基本信息 供应商企业关联关系说明书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商务要求响应（实质性要求）</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供应商须提供承诺书（格式见响应文件格式附件）</w:t>
            </w:r>
          </w:p>
        </w:tc>
        <w:tc>
          <w:tcPr>
            <w:tcW w:type="dxa" w:w="1661"/>
          </w:tcPr>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供应商必须满足采购文件的其他实质性要求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对建设目标的理解和认识</w:t>
            </w:r>
          </w:p>
        </w:tc>
        <w:tc>
          <w:tcPr>
            <w:tcW w:type="dxa" w:w="2492"/>
          </w:tcPr>
          <w:p>
            <w:pPr>
              <w:pStyle w:val="null3"/>
            </w:pPr>
            <w:r>
              <w:rPr>
                <w:rFonts w:ascii="仿宋_GB2312" w:hAnsi="仿宋_GB2312" w:cs="仿宋_GB2312" w:eastAsia="仿宋_GB2312"/>
              </w:rPr>
              <w:t>一、 评审内容 （1）对医院建设目标和需求的理解； （2）设计方案的编制策略及思路; 二、评审标准 1、完整性：方案须全面，对评审内容中的各项要求有详细描述及说明； 2、可行性：切合本标段实际情况，提出步骤清晰的方案； 3、针对性：紧扣项目实际情况需求，内容切实合理。 三、赋分标准（满分12分） 上述2项评审内容全部满足评审标准得12分；每有一项评审内容缺项扣6分，扣完为止；每有一项评审内容存在缺陷，扣（0-6）分。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设计方案整体布局及规划</w:t>
            </w:r>
          </w:p>
        </w:tc>
        <w:tc>
          <w:tcPr>
            <w:tcW w:type="dxa" w:w="2492"/>
          </w:tcPr>
          <w:p>
            <w:pPr>
              <w:pStyle w:val="null3"/>
            </w:pPr>
            <w:r>
              <w:rPr>
                <w:rFonts w:ascii="仿宋_GB2312" w:hAnsi="仿宋_GB2312" w:cs="仿宋_GB2312" w:eastAsia="仿宋_GB2312"/>
              </w:rPr>
              <w:t>一、评审内容 （1）医院内部整体布局与规划； （2）基础设施、病房布局、不同科室就诊环境规划； （3）整体设计风格与色彩设计; （4）生态、节能设计; （5）排水、强弱电、暖通、供氧、医疗废水、消防设施及无障碍建设设计; （6）分期建设方案。 二、评审标准 1、完整性：方案须全面，对评审内容中的各项要求有详细描述及说明； 2、可行性：切合本标段实际情况，提出步骤清晰的方案； 3、针对性：紧扣项目实际情况需求，内容切实合理。 三、赋分标准（满分24分） 上述6项评审内容全部满足评审标准得24分；每有一项评审内容缺项扣4分，扣完为止；每有一项评审内容存在缺陷，扣（0-4）分。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组织机构、岗位设置和分工</w:t>
            </w:r>
          </w:p>
        </w:tc>
        <w:tc>
          <w:tcPr>
            <w:tcW w:type="dxa" w:w="2492"/>
          </w:tcPr>
          <w:p>
            <w:pPr>
              <w:pStyle w:val="null3"/>
            </w:pPr>
            <w:r>
              <w:rPr>
                <w:rFonts w:ascii="仿宋_GB2312" w:hAnsi="仿宋_GB2312" w:cs="仿宋_GB2312" w:eastAsia="仿宋_GB2312"/>
              </w:rPr>
              <w:t>一、评审内容 （1）项目部组织架构、岗位设置； （2）人员配备与分工； 二、评审标准 1、完整性：方案须全面，对评审内容中的各项要求有详细描述及说明； 2、可行性：切合本标段实际情况，提出步骤清晰的方案； 3、针对性：紧扣项目实际情况需求，内容切实合理。 三、赋分标准（满分7分） 上述2项评审内容全部满足评审标准得7分；每有一项评审内容缺项扣3.5分，扣完为止；每有一项评审内容存在缺陷，扣（0-3.5）分。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工程进度计划与安排</w:t>
            </w:r>
          </w:p>
        </w:tc>
        <w:tc>
          <w:tcPr>
            <w:tcW w:type="dxa" w:w="2492"/>
          </w:tcPr>
          <w:p>
            <w:pPr>
              <w:pStyle w:val="null3"/>
            </w:pPr>
            <w:r>
              <w:rPr>
                <w:rFonts w:ascii="仿宋_GB2312" w:hAnsi="仿宋_GB2312" w:cs="仿宋_GB2312" w:eastAsia="仿宋_GB2312"/>
              </w:rPr>
              <w:t>一、评审内容 （1）确保工作时效性的安排； （2）工作进度计划； 二、评审标准 1、完整性：方案须全面，对评审内容中的各项要求有详细描述及说明； 2、可行性：切合本标段实际情况，提出步骤清晰的方案； 3、针对性：紧扣项目实际情况需求，内容切实合理。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质量保证措施与服务承诺</w:t>
            </w:r>
          </w:p>
        </w:tc>
        <w:tc>
          <w:tcPr>
            <w:tcW w:type="dxa" w:w="2492"/>
          </w:tcPr>
          <w:p>
            <w:pPr>
              <w:pStyle w:val="null3"/>
            </w:pPr>
            <w:r>
              <w:rPr>
                <w:rFonts w:ascii="仿宋_GB2312" w:hAnsi="仿宋_GB2312" w:cs="仿宋_GB2312" w:eastAsia="仿宋_GB2312"/>
              </w:rPr>
              <w:t>一、评审内容 （1）质量目标; （2）质量管理措施; （3）服务承诺; 二、评审标准 1、完整性：方案须全面，对评审内容中的各项要求有详细描述及说明； 2、可行性：切合本标段实际情况，提出步骤清晰的方案； 3、针对性：紧扣项目实际情况需求，内容切实合理。 三、赋分标准（满分9分） 上述3项评审内容全部满足评审标准得9分；每有一项评审内容缺项扣3分，扣完为止；每有一项评审内容存在缺陷，扣（0-3）分。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供应商提供自2022年2月1日至响应文件递交截止时间同类项目业绩（提供的完整合同复印件），每提供一份得2分，最多8分。未提供或提供材料不全不得分。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2022年2月1日至今项目负责人主持设计过类似的规划项目，每有1项得1分，最多得5分。 要求：提供能体现设计负责人姓名的证明材料（包括但不限于合同、中标通知书等），可与所提供的公司业绩重复。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拟派项目负责人业绩</w:t>
            </w:r>
          </w:p>
        </w:tc>
      </w:tr>
      <w:tr>
        <w:tc>
          <w:tcPr>
            <w:tcW w:type="dxa" w:w="831"/>
            <w:vMerge/>
          </w:tcPr>
          <w:p/>
        </w:tc>
        <w:tc>
          <w:tcPr>
            <w:tcW w:type="dxa" w:w="1661"/>
          </w:tcPr>
          <w:p>
            <w:pPr>
              <w:pStyle w:val="null3"/>
            </w:pPr>
            <w:r>
              <w:rPr>
                <w:rFonts w:ascii="仿宋_GB2312" w:hAnsi="仿宋_GB2312" w:cs="仿宋_GB2312" w:eastAsia="仿宋_GB2312"/>
              </w:rPr>
              <w:t>项目负责人技术水平</w:t>
            </w:r>
          </w:p>
        </w:tc>
        <w:tc>
          <w:tcPr>
            <w:tcW w:type="dxa" w:w="2492"/>
          </w:tcPr>
          <w:p>
            <w:pPr>
              <w:pStyle w:val="null3"/>
            </w:pPr>
            <w:r>
              <w:rPr>
                <w:rFonts w:ascii="仿宋_GB2312" w:hAnsi="仿宋_GB2312" w:cs="仿宋_GB2312" w:eastAsia="仿宋_GB2312"/>
              </w:rPr>
              <w:t>项目负责人具有： （1）高级工程师技术职称得2分； （2）一级注册建筑师执业资格得2分。 注：同时提供2024年9月至今至少三个月社保缴纳证明。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拟投入的主要人员情况</w:t>
            </w:r>
          </w:p>
        </w:tc>
      </w:tr>
      <w:tr>
        <w:tc>
          <w:tcPr>
            <w:tcW w:type="dxa" w:w="831"/>
            <w:vMerge/>
          </w:tcPr>
          <w:p/>
        </w:tc>
        <w:tc>
          <w:tcPr>
            <w:tcW w:type="dxa" w:w="1661"/>
          </w:tcPr>
          <w:p>
            <w:pPr>
              <w:pStyle w:val="null3"/>
            </w:pPr>
            <w:r>
              <w:rPr>
                <w:rFonts w:ascii="仿宋_GB2312" w:hAnsi="仿宋_GB2312" w:cs="仿宋_GB2312" w:eastAsia="仿宋_GB2312"/>
              </w:rPr>
              <w:t>设计团队配备专业性</w:t>
            </w:r>
          </w:p>
        </w:tc>
        <w:tc>
          <w:tcPr>
            <w:tcW w:type="dxa" w:w="2492"/>
          </w:tcPr>
          <w:p>
            <w:pPr>
              <w:pStyle w:val="null3"/>
            </w:pPr>
            <w:r>
              <w:rPr>
                <w:rFonts w:ascii="仿宋_GB2312" w:hAnsi="仿宋_GB2312" w:cs="仿宋_GB2312" w:eastAsia="仿宋_GB2312"/>
              </w:rPr>
              <w:t>各专业主要设计负责人：除项目负责人外团队成员至少包含基本配置要求为5人，建筑、结构、给排水、暖通、电气，每个专业各配 1 人及以上，不满足基本团队成员配置要求，本项不得分。 （1）建筑专业负责人：具备中级及以上职称资格且具有一级注册建筑师执业资格的，得 1分；其余不得分。 （2）结构专业负责人：具备中级及以上职称资格且具有一级注册结构工程师执业资格的，得 1分；其余不得分。 （3）给排水专业负责人：具备中级及以上职称资格且具有国家注册公用设备工程师执业资格的，得 1分；其余不得分。 （4）暖通专业负责人：具备中级及以上职称资格且具有国家注册公用设备工程师执业资格的，得 1 分；其余不得分。 （5）电气专业负责人：具备中级及以上职称资格且具有国家注册电气工程师执业资格的，得 1分；其余不得分。 注：（1）负责人证明材料包括但不限于学历证、注册证、职称证其他辅助证明，同时提供2024年9月至今至少三个月社保缴纳证明。 （2）项目组织机构人员提供包括但不限于学历证、注册证、职称证其他辅助证明、与投标人单位签定的劳动合同，同时提供2024年9月至今至少三个月社保缴纳证明。 上述证明材料需加盖单位公章，未提供不得分。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拟投入的主要人员情况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价格分统一采用低价优先法计算，即满足磋商文件要求且报价最低的磋商报价为评标基准价，其价格分为满分。其他供应商的价格分统一按照下列公式计算： 价格分=(评标基准价／磋商报价)×20。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详见附件：拟派项目负责人业绩</w:t>
      </w:r>
    </w:p>
    <w:p>
      <w:pPr>
        <w:pStyle w:val="null3"/>
        <w:ind w:firstLine="960"/>
      </w:pPr>
      <w:r>
        <w:rPr>
          <w:rFonts w:ascii="仿宋_GB2312" w:hAnsi="仿宋_GB2312" w:cs="仿宋_GB2312" w:eastAsia="仿宋_GB2312"/>
        </w:rPr>
        <w:t>详见附件：拟投入的主要人员情况</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