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版本号：SZT2025-SN-QC-ZC-FW-036420250512001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测绘服务采购项目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SZT2025-SN-QC-ZC-FW-0364</w:t>
      </w:r>
      <w:r>
        <w:br/>
      </w:r>
      <w:r>
        <w:br/>
      </w:r>
      <w:r>
        <w:br/>
      </w:r>
    </w:p>
    <w:p>
      <w:pPr>
        <w:pStyle w:val="null3"/>
        <w:jc w:val="center"/>
        <w:outlineLvl w:val="2"/>
      </w:pPr>
      <w:r>
        <w:rPr>
          <w:rFonts w:ascii="仿宋_GB2312" w:hAnsi="仿宋_GB2312" w:cs="仿宋_GB2312" w:eastAsia="仿宋_GB2312"/>
          <w:sz w:val="28"/>
          <w:b/>
        </w:rPr>
        <w:t>西安市自然资源和规划局长安分局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w:t>
      </w:r>
      <w:r>
        <w:rPr>
          <w:rFonts w:ascii="仿宋_GB2312" w:hAnsi="仿宋_GB2312" w:cs="仿宋_GB2312" w:eastAsia="仿宋_GB2312"/>
        </w:rPr>
        <w:t>委托，拟对</w:t>
      </w:r>
      <w:r>
        <w:rPr>
          <w:rFonts w:ascii="仿宋_GB2312" w:hAnsi="仿宋_GB2312" w:cs="仿宋_GB2312" w:eastAsia="仿宋_GB2312"/>
        </w:rPr>
        <w:t>测绘服务采购项目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SZT2025-SN-QC-ZC-FW-0364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测绘服务采购项目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认真贯彻区委、区政府、市自然资源和规划局的决策部署，正确处理好长安区保障发展和保护资源的关系，全面实现自然资源服务管理水平提升，违法违规用地宗数、面积下降的目标。需测绘作业单位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采购包1（测绘服务采购项目）：属于专门面向中小企业采购。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1、相关资质要求：供应商须具备测绘主管部门颁发乙级以上（含乙级）测绘资质(专业类别须涵盖本次招标内容)。</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029-85294500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按照预算计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联系电话：029-88364979-872</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认真贯彻区委、区政府、市自然资源和规划局的决策部署，正确处理好长安区保障发展和保护资源的关系，全面实现自然资源服务管理水平提升，违法违规用地宗数、面积下降的目标。需测绘作业单位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认真贯彻区委、区政府、市自然资源和规划局的决策部署，正确处理好长安区保障发展和保护资源的关系，全面实现自然资源服务管理水平提升，违法违规用地宗数、面积下降的目标。需测绘作业单位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pPr>
              <w:pStyle w:val="null3"/>
              <w:jc w:val="both"/>
            </w:pPr>
            <w:r>
              <w:rPr>
                <w:rFonts w:ascii="仿宋_GB2312" w:hAnsi="仿宋_GB2312" w:cs="仿宋_GB2312" w:eastAsia="仿宋_GB2312"/>
                <w:sz w:val="24"/>
                <w:b/>
              </w:rPr>
              <w:t>二、项目任务</w:t>
            </w:r>
          </w:p>
          <w:p>
            <w:pPr>
              <w:pStyle w:val="null3"/>
              <w:ind w:firstLine="480"/>
              <w:jc w:val="both"/>
            </w:pPr>
            <w:r>
              <w:rPr>
                <w:rFonts w:ascii="仿宋_GB2312" w:hAnsi="仿宋_GB2312" w:cs="仿宋_GB2312" w:eastAsia="仿宋_GB2312"/>
                <w:sz w:val="24"/>
              </w:rPr>
              <w:t>主要测量业务类型和主要内容：</w:t>
            </w:r>
          </w:p>
          <w:tbl>
            <w:tblPr>
              <w:tblInd w:type="dxa" w:w="210"/>
              <w:tblBorders>
                <w:top w:val="none" w:color="000000" w:sz="4"/>
                <w:left w:val="none" w:color="000000" w:sz="4"/>
                <w:bottom w:val="none" w:color="000000" w:sz="4"/>
                <w:right w:val="none" w:color="000000" w:sz="4"/>
                <w:insideH w:val="none"/>
                <w:insideV w:val="none"/>
              </w:tblBorders>
            </w:tblPr>
            <w:tblGrid>
              <w:gridCol w:w="228"/>
              <w:gridCol w:w="465"/>
              <w:gridCol w:w="989"/>
              <w:gridCol w:w="871"/>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测量业务类型</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测量工作主要内容</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最高限价</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土地勘测定界</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依据政府土地征收、征用、划拨、层出让、农用地转用、土地利用规划及土地开发、整理、复垦等工作需求，对土地进行范围确定、权属测量，并出具勘测定界报告。</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界址点</w:t>
                  </w:r>
                  <w:r>
                    <w:rPr>
                      <w:rFonts w:ascii="仿宋_GB2312" w:hAnsi="仿宋_GB2312" w:cs="仿宋_GB2312" w:eastAsia="仿宋_GB2312"/>
                      <w:sz w:val="24"/>
                    </w:rPr>
                    <w:t>:600元/点</w:t>
                  </w:r>
                </w:p>
                <w:p>
                  <w:pPr>
                    <w:pStyle w:val="null3"/>
                  </w:pPr>
                  <w:r>
                    <w:rPr>
                      <w:rFonts w:ascii="仿宋_GB2312" w:hAnsi="仿宋_GB2312" w:cs="仿宋_GB2312" w:eastAsia="仿宋_GB2312"/>
                      <w:sz w:val="24"/>
                    </w:rPr>
                    <w:t>面积</w:t>
                  </w:r>
                  <w:r>
                    <w:rPr>
                      <w:rFonts w:ascii="仿宋_GB2312" w:hAnsi="仿宋_GB2312" w:cs="仿宋_GB2312" w:eastAsia="仿宋_GB2312"/>
                      <w:sz w:val="24"/>
                    </w:rPr>
                    <w:t>:地块小于50</w:t>
                  </w:r>
                  <w:r>
                    <w:rPr>
                      <w:rFonts w:ascii="仿宋_GB2312" w:hAnsi="仿宋_GB2312" w:cs="仿宋_GB2312" w:eastAsia="仿宋_GB2312"/>
                      <w:sz w:val="24"/>
                    </w:rPr>
                    <w:t>亩</w:t>
                  </w:r>
                  <w:r>
                    <w:rPr>
                      <w:rFonts w:ascii="仿宋_GB2312" w:hAnsi="仿宋_GB2312" w:cs="仿宋_GB2312" w:eastAsia="仿宋_GB2312"/>
                      <w:sz w:val="24"/>
                    </w:rPr>
                    <w:t>按照每平方米</w:t>
                  </w:r>
                  <w:r>
                    <w:rPr>
                      <w:rFonts w:ascii="仿宋_GB2312" w:hAnsi="仿宋_GB2312" w:cs="仿宋_GB2312" w:eastAsia="仿宋_GB2312"/>
                      <w:sz w:val="24"/>
                    </w:rPr>
                    <w:t>0</w:t>
                  </w:r>
                  <w:r>
                    <w:rPr>
                      <w:rFonts w:ascii="仿宋_GB2312" w:hAnsi="仿宋_GB2312" w:cs="仿宋_GB2312" w:eastAsia="仿宋_GB2312"/>
                      <w:sz w:val="24"/>
                    </w:rPr>
                    <w:t>.18元，</w:t>
                  </w:r>
                </w:p>
                <w:p>
                  <w:pPr>
                    <w:pStyle w:val="null3"/>
                  </w:pPr>
                  <w:r>
                    <w:rPr>
                      <w:rFonts w:ascii="仿宋_GB2312" w:hAnsi="仿宋_GB2312" w:cs="仿宋_GB2312" w:eastAsia="仿宋_GB2312"/>
                      <w:sz w:val="24"/>
                    </w:rPr>
                    <w:t>地块大于</w:t>
                  </w:r>
                  <w:r>
                    <w:rPr>
                      <w:rFonts w:ascii="仿宋_GB2312" w:hAnsi="仿宋_GB2312" w:cs="仿宋_GB2312" w:eastAsia="仿宋_GB2312"/>
                      <w:sz w:val="24"/>
                    </w:rPr>
                    <w:t>50亩每平方米0.15元，工本费:200元/本</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土地利用现状图</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按照所提供宗地范围出具年度土地利用现状图。</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580元/幅，加出一份200元/幅</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w:t>
                  </w:r>
                  <w:r>
                    <w:rPr>
                      <w:rFonts w:ascii="仿宋_GB2312" w:hAnsi="仿宋_GB2312" w:cs="仿宋_GB2312" w:eastAsia="仿宋_GB2312"/>
                      <w:sz w:val="24"/>
                    </w:rPr>
                    <w:t>违法</w:t>
                  </w:r>
                  <w:r>
                    <w:rPr>
                      <w:rFonts w:ascii="仿宋_GB2312" w:hAnsi="仿宋_GB2312" w:cs="仿宋_GB2312" w:eastAsia="仿宋_GB2312"/>
                      <w:sz w:val="24"/>
                    </w:rPr>
                    <w:t>测量违法</w:t>
                  </w:r>
                  <w:r>
                    <w:rPr>
                      <w:rFonts w:ascii="仿宋_GB2312" w:hAnsi="仿宋_GB2312" w:cs="仿宋_GB2312" w:eastAsia="仿宋_GB2312"/>
                      <w:sz w:val="24"/>
                    </w:rPr>
                    <w:t>建设测量</w:t>
                  </w:r>
                  <w:r>
                    <w:rPr>
                      <w:rFonts w:ascii="仿宋_GB2312" w:hAnsi="仿宋_GB2312" w:cs="仿宋_GB2312" w:eastAsia="仿宋_GB2312"/>
                      <w:sz w:val="24"/>
                    </w:rPr>
                    <w:t>(建筑面积)</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配合分局土地监察部门对辖区内所涉及的违法土地进行测量、出具测量成果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界址点</w:t>
                  </w:r>
                  <w:r>
                    <w:rPr>
                      <w:rFonts w:ascii="仿宋_GB2312" w:hAnsi="仿宋_GB2312" w:cs="仿宋_GB2312" w:eastAsia="仿宋_GB2312"/>
                      <w:sz w:val="24"/>
                    </w:rPr>
                    <w:t>：</w:t>
                  </w:r>
                  <w:r>
                    <w:rPr>
                      <w:rFonts w:ascii="仿宋_GB2312" w:hAnsi="仿宋_GB2312" w:cs="仿宋_GB2312" w:eastAsia="仿宋_GB2312"/>
                      <w:sz w:val="24"/>
                    </w:rPr>
                    <w:t>600元/点，</w:t>
                  </w:r>
                </w:p>
                <w:p>
                  <w:pPr>
                    <w:pStyle w:val="null3"/>
                  </w:pPr>
                  <w:r>
                    <w:rPr>
                      <w:rFonts w:ascii="仿宋_GB2312" w:hAnsi="仿宋_GB2312" w:cs="仿宋_GB2312" w:eastAsia="仿宋_GB2312"/>
                      <w:sz w:val="24"/>
                    </w:rPr>
                    <w:t>碎部点</w:t>
                  </w:r>
                  <w:r>
                    <w:rPr>
                      <w:rFonts w:ascii="仿宋_GB2312" w:hAnsi="仿宋_GB2312" w:cs="仿宋_GB2312" w:eastAsia="仿宋_GB2312"/>
                      <w:sz w:val="24"/>
                    </w:rPr>
                    <w:t>：</w:t>
                  </w:r>
                  <w:r>
                    <w:rPr>
                      <w:rFonts w:ascii="仿宋_GB2312" w:hAnsi="仿宋_GB2312" w:cs="仿宋_GB2312" w:eastAsia="仿宋_GB2312"/>
                      <w:sz w:val="24"/>
                    </w:rPr>
                    <w:t>20元/点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矢量</w:t>
                  </w:r>
                  <w:r>
                    <w:rPr>
                      <w:rFonts w:ascii="仿宋_GB2312" w:hAnsi="仿宋_GB2312" w:cs="仿宋_GB2312" w:eastAsia="仿宋_GB2312"/>
                      <w:sz w:val="24"/>
                    </w:rPr>
                    <w:t>(SHP)数据</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对提供的各种数据、图形进行数据拼接，图形纠正，节点处理，编绘各线性要素，重新编辑属性，重新建立拓扑关系，抄接边，元数据制作，检查，修改，成果整理。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0.03元/平方米</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土方测量</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包含控制测量、野外数据采集，绘制土方测量计算图，室内编辑，明确测量要求，编辑土方测量报告，检查修改、成果资料整理。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碎部点</w:t>
                  </w:r>
                  <w:r>
                    <w:rPr>
                      <w:rFonts w:ascii="仿宋_GB2312" w:hAnsi="仿宋_GB2312" w:cs="仿宋_GB2312" w:eastAsia="仿宋_GB2312"/>
                      <w:sz w:val="24"/>
                    </w:rPr>
                    <w:t>：</w:t>
                  </w:r>
                  <w:r>
                    <w:rPr>
                      <w:rFonts w:ascii="仿宋_GB2312" w:hAnsi="仿宋_GB2312" w:cs="仿宋_GB2312" w:eastAsia="仿宋_GB2312"/>
                      <w:sz w:val="24"/>
                    </w:rPr>
                    <w:t>20元/点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房产测量</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主要测定和调查房屋及其用地状况，包括</w:t>
                  </w:r>
                  <w:r>
                    <w:rPr>
                      <w:rFonts w:ascii="仿宋_GB2312" w:hAnsi="仿宋_GB2312" w:cs="仿宋_GB2312" w:eastAsia="仿宋_GB2312"/>
                      <w:sz w:val="24"/>
                    </w:rPr>
                    <w:t>:房产平面控制测量、房产调查、房产要素测量、房产图绘制、房产面积测算、变更测量、成果资料的检查与验收。以及所涉及的房屋不动产权籍调查等。</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实测收费标准</w:t>
                  </w:r>
                  <w:r>
                    <w:rPr>
                      <w:rFonts w:ascii="仿宋_GB2312" w:hAnsi="仿宋_GB2312" w:cs="仿宋_GB2312" w:eastAsia="仿宋_GB2312"/>
                      <w:sz w:val="24"/>
                    </w:rPr>
                    <w:t>：</w:t>
                  </w:r>
                  <w:r>
                    <w:rPr>
                      <w:rFonts w:ascii="仿宋_GB2312" w:hAnsi="仿宋_GB2312" w:cs="仿宋_GB2312" w:eastAsia="仿宋_GB2312"/>
                      <w:sz w:val="24"/>
                    </w:rPr>
                    <w:t>办公楼</w:t>
                  </w:r>
                  <w:r>
                    <w:rPr>
                      <w:rFonts w:ascii="仿宋_GB2312" w:hAnsi="仿宋_GB2312" w:cs="仿宋_GB2312" w:eastAsia="仿宋_GB2312"/>
                      <w:sz w:val="24"/>
                    </w:rPr>
                    <w:t>2</w:t>
                  </w:r>
                  <w:r>
                    <w:rPr>
                      <w:rFonts w:ascii="仿宋_GB2312" w:hAnsi="仿宋_GB2312" w:cs="仿宋_GB2312" w:eastAsia="仿宋_GB2312"/>
                      <w:sz w:val="24"/>
                    </w:rPr>
                    <w:t>元</w:t>
                  </w:r>
                  <w:r>
                    <w:rPr>
                      <w:rFonts w:ascii="仿宋_GB2312" w:hAnsi="仿宋_GB2312" w:cs="仿宋_GB2312" w:eastAsia="仿宋_GB2312"/>
                      <w:sz w:val="24"/>
                    </w:rPr>
                    <w:t>/m</w:t>
                  </w:r>
                  <w:r>
                    <w:rPr>
                      <w:rFonts w:ascii="仿宋_GB2312" w:hAnsi="仿宋_GB2312" w:cs="仿宋_GB2312" w:eastAsia="仿宋_GB2312"/>
                      <w:sz w:val="24"/>
                      <w:vertAlign w:val="superscript"/>
                    </w:rPr>
                    <w:t>2</w:t>
                  </w:r>
                  <w:r>
                    <w:rPr>
                      <w:rFonts w:ascii="仿宋_GB2312" w:hAnsi="仿宋_GB2312" w:cs="仿宋_GB2312" w:eastAsia="仿宋_GB2312"/>
                      <w:sz w:val="24"/>
                    </w:rPr>
                    <w:t>；车库</w:t>
                  </w:r>
                  <w:r>
                    <w:rPr>
                      <w:rFonts w:ascii="仿宋_GB2312" w:hAnsi="仿宋_GB2312" w:cs="仿宋_GB2312" w:eastAsia="仿宋_GB2312"/>
                      <w:sz w:val="24"/>
                    </w:rPr>
                    <w:t>1.4元/m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2、楼位测量：650元/点；</w:t>
                  </w:r>
                </w:p>
                <w:p>
                  <w:pPr>
                    <w:pStyle w:val="null3"/>
                  </w:pPr>
                  <w:r>
                    <w:rPr>
                      <w:rFonts w:ascii="仿宋_GB2312" w:hAnsi="仿宋_GB2312" w:cs="仿宋_GB2312" w:eastAsia="仿宋_GB2312"/>
                      <w:sz w:val="24"/>
                    </w:rPr>
                    <w:t>3、权调报告：S＜30000m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2200元/幢；30000m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S＜50000m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3300元/幢;50000m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S＜100000m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4500元/幢;</w:t>
                  </w:r>
                </w:p>
                <w:p>
                  <w:pPr>
                    <w:pStyle w:val="null3"/>
                  </w:pPr>
                  <w:r>
                    <w:rPr>
                      <w:rFonts w:ascii="仿宋_GB2312" w:hAnsi="仿宋_GB2312" w:cs="仿宋_GB2312" w:eastAsia="仿宋_GB2312"/>
                      <w:sz w:val="24"/>
                    </w:rPr>
                    <w:t>4、图纸扫描:设计图纸10元/张，权籍调查报告1元/张</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无人机航拍</w:t>
                  </w:r>
                  <w:r>
                    <w:rPr>
                      <w:rFonts w:ascii="仿宋_GB2312" w:hAnsi="仿宋_GB2312" w:cs="仿宋_GB2312" w:eastAsia="仿宋_GB2312"/>
                      <w:sz w:val="24"/>
                    </w:rPr>
                    <w:t>（</w:t>
                  </w:r>
                  <w:r>
                    <w:rPr>
                      <w:rFonts w:ascii="仿宋_GB2312" w:hAnsi="仿宋_GB2312" w:cs="仿宋_GB2312" w:eastAsia="仿宋_GB2312"/>
                      <w:sz w:val="24"/>
                    </w:rPr>
                    <w:t>1:1000</w:t>
                  </w:r>
                  <w:r>
                    <w:rPr>
                      <w:rFonts w:ascii="仿宋_GB2312" w:hAnsi="仿宋_GB2312" w:cs="仿宋_GB2312" w:eastAsia="仿宋_GB2312"/>
                      <w:sz w:val="24"/>
                    </w:rPr>
                    <w:t>）</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包括空中三角测量</w:t>
                  </w:r>
                  <w:r>
                    <w:rPr>
                      <w:rFonts w:ascii="仿宋_GB2312" w:hAnsi="仿宋_GB2312" w:cs="仿宋_GB2312" w:eastAsia="仿宋_GB2312"/>
                      <w:sz w:val="24"/>
                    </w:rPr>
                    <w:t>(含内定向、相对定向，绝对定向，区域内平差计算，接边、检查、成果资料整理);数字正射影像图(含数据采集、影像匹配生成DEM，数字微分纠正计算，生成DOM，DOM镶嵌裁切与整饰，元数据制作，成果资料整理)。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1600元/幅(包含空中三角测量和正射影像图制作)</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一般测量</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对分局相关科室所提出的非专项测绘项目进行外业测量、数据采集、内业数据编辑、成果资料整理、出具测量成果。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界址点</w:t>
                  </w:r>
                  <w:r>
                    <w:rPr>
                      <w:rFonts w:ascii="仿宋_GB2312" w:hAnsi="仿宋_GB2312" w:cs="仿宋_GB2312" w:eastAsia="仿宋_GB2312"/>
                      <w:sz w:val="24"/>
                    </w:rPr>
                    <w:t>:600元/点,</w:t>
                  </w:r>
                </w:p>
                <w:p>
                  <w:pPr>
                    <w:pStyle w:val="null3"/>
                  </w:pPr>
                  <w:r>
                    <w:rPr>
                      <w:rFonts w:ascii="仿宋_GB2312" w:hAnsi="仿宋_GB2312" w:cs="仿宋_GB2312" w:eastAsia="仿宋_GB2312"/>
                      <w:sz w:val="24"/>
                    </w:rPr>
                    <w:t>碎部点</w:t>
                  </w:r>
                  <w:r>
                    <w:rPr>
                      <w:rFonts w:ascii="仿宋_GB2312" w:hAnsi="仿宋_GB2312" w:cs="仿宋_GB2312" w:eastAsia="仿宋_GB2312"/>
                      <w:sz w:val="24"/>
                    </w:rPr>
                    <w:t>:20元/点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坐标转换</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对分局相关科室提供的各种坐标系成果进行所需求的坐标系的转换，并提供所需的数据格式。</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80元/点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地形测量</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包含控制测量、野外数据采集，属性调查，绘制示意图，室内编辑，建拓扑关系和元数据文件，检查修改、成果资料整理，数据格式转换。</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1:500</w:t>
                  </w:r>
                  <w:r>
                    <w:rPr>
                      <w:rFonts w:ascii="仿宋_GB2312" w:hAnsi="仿宋_GB2312" w:cs="仿宋_GB2312" w:eastAsia="仿宋_GB2312"/>
                      <w:sz w:val="24"/>
                    </w:rPr>
                    <w:t>：</w:t>
                  </w:r>
                  <w:r>
                    <w:rPr>
                      <w:rFonts w:ascii="仿宋_GB2312" w:hAnsi="仿宋_GB2312" w:cs="仿宋_GB2312" w:eastAsia="仿宋_GB2312"/>
                      <w:sz w:val="24"/>
                    </w:rPr>
                    <w:t>7500元/</w:t>
                  </w:r>
                  <w:r>
                    <w:rPr>
                      <w:rFonts w:ascii="仿宋_GB2312" w:hAnsi="仿宋_GB2312" w:cs="仿宋_GB2312" w:eastAsia="仿宋_GB2312"/>
                      <w:sz w:val="24"/>
                    </w:rPr>
                    <w:t>幅</w:t>
                  </w:r>
                </w:p>
                <w:p>
                  <w:pPr>
                    <w:pStyle w:val="null3"/>
                  </w:pPr>
                  <w:r>
                    <w:rPr>
                      <w:rFonts w:ascii="仿宋_GB2312" w:hAnsi="仿宋_GB2312" w:cs="仿宋_GB2312" w:eastAsia="仿宋_GB2312"/>
                      <w:sz w:val="24"/>
                    </w:rPr>
                    <w:t>1:1000:</w:t>
                  </w:r>
                  <w:r>
                    <w:rPr>
                      <w:rFonts w:ascii="仿宋_GB2312" w:hAnsi="仿宋_GB2312" w:cs="仿宋_GB2312" w:eastAsia="仿宋_GB2312"/>
                      <w:sz w:val="19"/>
                    </w:rPr>
                    <w:t xml:space="preserve"> </w:t>
                  </w:r>
                  <w:r>
                    <w:rPr>
                      <w:rFonts w:ascii="仿宋_GB2312" w:hAnsi="仿宋_GB2312" w:cs="仿宋_GB2312" w:eastAsia="仿宋_GB2312"/>
                      <w:sz w:val="24"/>
                    </w:rPr>
                    <w:t>9000元/</w:t>
                  </w:r>
                  <w:r>
                    <w:rPr>
                      <w:rFonts w:ascii="仿宋_GB2312" w:hAnsi="仿宋_GB2312" w:cs="仿宋_GB2312" w:eastAsia="仿宋_GB2312"/>
                      <w:sz w:val="24"/>
                    </w:rPr>
                    <w:t>幅</w:t>
                  </w:r>
                </w:p>
                <w:p>
                  <w:pPr>
                    <w:pStyle w:val="null3"/>
                  </w:pPr>
                  <w:r>
                    <w:rPr>
                      <w:rFonts w:ascii="仿宋_GB2312" w:hAnsi="仿宋_GB2312" w:cs="仿宋_GB2312" w:eastAsia="仿宋_GB2312"/>
                      <w:sz w:val="24"/>
                    </w:rPr>
                    <w:t>1:2000:</w:t>
                  </w:r>
                  <w:r>
                    <w:rPr>
                      <w:rFonts w:ascii="仿宋_GB2312" w:hAnsi="仿宋_GB2312" w:cs="仿宋_GB2312" w:eastAsia="仿宋_GB2312"/>
                      <w:sz w:val="19"/>
                    </w:rPr>
                    <w:t xml:space="preserve"> </w:t>
                  </w:r>
                  <w:r>
                    <w:rPr>
                      <w:rFonts w:ascii="仿宋_GB2312" w:hAnsi="仿宋_GB2312" w:cs="仿宋_GB2312" w:eastAsia="仿宋_GB2312"/>
                      <w:sz w:val="24"/>
                    </w:rPr>
                    <w:t>13000元/</w:t>
                  </w:r>
                  <w:r>
                    <w:rPr>
                      <w:rFonts w:ascii="仿宋_GB2312" w:hAnsi="仿宋_GB2312" w:cs="仿宋_GB2312" w:eastAsia="仿宋_GB2312"/>
                      <w:sz w:val="24"/>
                    </w:rPr>
                    <w:t>幅</w:t>
                  </w:r>
                  <w:r>
                    <w:rPr>
                      <w:rFonts w:ascii="仿宋_GB2312" w:hAnsi="仿宋_GB2312" w:cs="仿宋_GB2312" w:eastAsia="仿宋_GB2312"/>
                      <w:sz w:val="24"/>
                    </w:rPr>
                    <w:t>(包含全野外地形数据采集和地形图</w:t>
                  </w:r>
                  <w:r>
                    <w:rPr>
                      <w:rFonts w:ascii="仿宋_GB2312" w:hAnsi="仿宋_GB2312" w:cs="仿宋_GB2312" w:eastAsia="仿宋_GB2312"/>
                      <w:sz w:val="24"/>
                    </w:rPr>
                    <w:t>编辑）</w:t>
                  </w:r>
                </w:p>
              </w:tc>
            </w:tr>
          </w:tbl>
          <w:p>
            <w:pPr>
              <w:pStyle w:val="null3"/>
              <w:ind w:firstLine="480"/>
              <w:jc w:val="both"/>
            </w:pPr>
            <w:r>
              <w:rPr>
                <w:rFonts w:ascii="仿宋_GB2312" w:hAnsi="仿宋_GB2312" w:cs="仿宋_GB2312" w:eastAsia="仿宋_GB2312"/>
                <w:sz w:val="24"/>
                <w:b/>
              </w:rPr>
              <w:t>三、主要技术指标</w:t>
            </w:r>
          </w:p>
          <w:p>
            <w:pPr>
              <w:pStyle w:val="null3"/>
              <w:ind w:firstLine="480"/>
              <w:jc w:val="both"/>
            </w:pPr>
            <w:r>
              <w:rPr>
                <w:rFonts w:ascii="仿宋_GB2312" w:hAnsi="仿宋_GB2312" w:cs="仿宋_GB2312" w:eastAsia="仿宋_GB2312"/>
                <w:sz w:val="24"/>
              </w:rPr>
              <w:t>所有业务均需按照国家标准、规范、省市规定，依据测绘成果质量检查与验收要求保质保量完成。</w:t>
            </w:r>
          </w:p>
          <w:p>
            <w:pPr>
              <w:pStyle w:val="null3"/>
              <w:jc w:val="both"/>
            </w:pPr>
            <w:r>
              <w:rPr>
                <w:rFonts w:ascii="仿宋_GB2312" w:hAnsi="仿宋_GB2312" w:cs="仿宋_GB2312" w:eastAsia="仿宋_GB2312"/>
                <w:sz w:val="24"/>
                <w:b/>
              </w:rPr>
              <w:t>技术依据：</w:t>
            </w:r>
          </w:p>
          <w:tbl>
            <w:tblPr>
              <w:tblInd w:type="dxa" w:w="330"/>
              <w:tblBorders>
                <w:top w:val="none" w:color="000000" w:sz="4"/>
                <w:left w:val="none" w:color="000000" w:sz="4"/>
                <w:bottom w:val="none" w:color="000000" w:sz="4"/>
                <w:right w:val="none" w:color="000000" w:sz="4"/>
                <w:insideH w:val="none"/>
                <w:insideV w:val="none"/>
              </w:tblBorders>
            </w:tblPr>
            <w:tblGrid>
              <w:gridCol w:w="222"/>
              <w:gridCol w:w="1599"/>
              <w:gridCol w:w="732"/>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标准名称</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标准号</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土地勘测定界规程</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TD/T 1008-2007</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土地利用现状分类</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21010-2017</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地籍调查规程</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GD/T 42547-2023</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城镇地籍调查规程</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TD 1001-2012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基础地理信息要素分类与代码</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13923-2022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1：500、1：1000、1：2000地形图图式》</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20257.1-2017</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 1,1 000 1,2 000外业数字测图技术规程</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14912-2017</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国家基本比例尺地形图分幅与编号</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13989-2012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全球定位系统（</w:t>
                  </w:r>
                  <w:r>
                    <w:rPr>
                      <w:rFonts w:ascii="仿宋_GB2312" w:hAnsi="仿宋_GB2312" w:cs="仿宋_GB2312" w:eastAsia="仿宋_GB2312"/>
                      <w:sz w:val="24"/>
                    </w:rPr>
                    <w:t>GPS）测量规范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18314-2016</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数字测绘成果质量检查与验收</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18316-2008</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测绘成果质量检查与验收</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24356-2023</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全球定位系统实时动态测量（</w:t>
                  </w:r>
                  <w:r>
                    <w:rPr>
                      <w:rFonts w:ascii="仿宋_GB2312" w:hAnsi="仿宋_GB2312" w:cs="仿宋_GB2312" w:eastAsia="仿宋_GB2312"/>
                      <w:sz w:val="24"/>
                    </w:rPr>
                    <w:t>RTK）技术规范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CH/T 2009-2010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卫星定位城市测量规技术规范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CJJ/T 73-2019</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城市测量规范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CJJ/T 8-2011</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城镇地籍调查规定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TD/T 1001-2012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地籍测绘规范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 5002-94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地籍图图式</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 5003-1994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测绘产品检查验收规定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 1002-2005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测绘产品质量评定标准</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 1003-1995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测绘技术总结编写规定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CH/T 1001-2005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测绘技术设计规定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CH/T 1004-2005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测绘作业人员安全规范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 1016-2008</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全球导航卫星系统连续运行参考站网建设规范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CH/T 2008-2005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房产测量规范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GB/T17986-2000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关于房屋建筑面积计算与房屋权属登记有关问题的通知</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建住房（</w:t>
                  </w:r>
                  <w:r>
                    <w:rPr>
                      <w:rFonts w:ascii="仿宋_GB2312" w:hAnsi="仿宋_GB2312" w:cs="仿宋_GB2312" w:eastAsia="仿宋_GB2312"/>
                      <w:sz w:val="24"/>
                    </w:rPr>
                    <w:t>2002）74号文件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关于进一步加强房地产市场监管有关问题的通知</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市局市房（</w:t>
                  </w:r>
                  <w:r>
                    <w:rPr>
                      <w:rFonts w:ascii="仿宋_GB2312" w:hAnsi="仿宋_GB2312" w:cs="仿宋_GB2312" w:eastAsia="仿宋_GB2312"/>
                      <w:sz w:val="24"/>
                    </w:rPr>
                    <w:t>2011）77号文件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西安市房地产测绘实施细则</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试行</w:t>
                  </w:r>
                </w:p>
              </w:tc>
            </w:tr>
          </w:tbl>
          <w:p>
            <w:pPr>
              <w:pStyle w:val="null3"/>
              <w:jc w:val="both"/>
            </w:pPr>
            <w:r>
              <w:rPr>
                <w:rFonts w:ascii="仿宋_GB2312" w:hAnsi="仿宋_GB2312" w:cs="仿宋_GB2312" w:eastAsia="仿宋_GB2312"/>
                <w:sz w:val="24"/>
                <w:b/>
              </w:rPr>
              <w:t>四、提交成果内容</w:t>
            </w:r>
          </w:p>
          <w:p>
            <w:pPr>
              <w:pStyle w:val="null3"/>
              <w:jc w:val="both"/>
            </w:pPr>
            <w:r>
              <w:rPr>
                <w:rFonts w:ascii="仿宋_GB2312" w:hAnsi="仿宋_GB2312" w:cs="仿宋_GB2312" w:eastAsia="仿宋_GB2312"/>
                <w:sz w:val="24"/>
              </w:rPr>
              <w:t>1、各种图件纸质成果</w:t>
            </w:r>
          </w:p>
          <w:p>
            <w:pPr>
              <w:pStyle w:val="null3"/>
              <w:jc w:val="both"/>
            </w:pPr>
            <w:r>
              <w:rPr>
                <w:rFonts w:ascii="仿宋_GB2312" w:hAnsi="仿宋_GB2312" w:cs="仿宋_GB2312" w:eastAsia="仿宋_GB2312"/>
                <w:sz w:val="24"/>
              </w:rPr>
              <w:t>2、坐标成果文件</w:t>
            </w:r>
          </w:p>
          <w:p>
            <w:pPr>
              <w:pStyle w:val="null3"/>
              <w:jc w:val="both"/>
            </w:pPr>
            <w:r>
              <w:rPr>
                <w:rFonts w:ascii="仿宋_GB2312" w:hAnsi="仿宋_GB2312" w:cs="仿宋_GB2312" w:eastAsia="仿宋_GB2312"/>
                <w:sz w:val="24"/>
              </w:rPr>
              <w:t>3、测量报告</w:t>
            </w:r>
          </w:p>
          <w:p>
            <w:pPr>
              <w:pStyle w:val="null3"/>
              <w:jc w:val="both"/>
            </w:pPr>
            <w:r>
              <w:rPr>
                <w:rFonts w:ascii="仿宋_GB2312" w:hAnsi="仿宋_GB2312" w:cs="仿宋_GB2312" w:eastAsia="仿宋_GB2312"/>
                <w:sz w:val="24"/>
              </w:rPr>
              <w:t>4、所需成果的数据格式文件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自合同签订之日起至2025年12月31日止。存在测绘项目在上述时间内未完成的，合同期限顺延至该测绘项目完成止。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服务期结束，没有其他问题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 3.合同总金额：合同总金额由全部项目测绘服务费用构成，最高限价为人民币198.00万元，具体以审计结果为准。 除本合同明确约定外，甲方不再向乙方支付其他任何费用。 2、本合同项下合同总金额按项目计取，单个项目测绘服务费按照项目测绘单价计取（根据不同测绘业务类型确定不同项目单价）： 单个项目测绘服务费=项目测绘单价×项目工作量。 3、每个项目测绘完成并测绘成果交付经甲方审核无误后，就该项目测绘服务费提交审计部门进行审计，单个项目测绘服务费以审计结果为准。 4、合同期限内全部项目测绘服务费超过合同总金额的，以合同总金额为乙方全部测绘服务费。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相关资质要求</w:t>
            </w:r>
          </w:p>
        </w:tc>
        <w:tc>
          <w:tcPr>
            <w:tcW w:type="dxa" w:w="3322"/>
          </w:tcPr>
          <w:p>
            <w:pPr>
              <w:pStyle w:val="null3"/>
            </w:pPr>
            <w:r>
              <w:rPr>
                <w:rFonts w:ascii="仿宋_GB2312" w:hAnsi="仿宋_GB2312" w:cs="仿宋_GB2312" w:eastAsia="仿宋_GB2312"/>
              </w:rPr>
              <w:t>供应商须具备测绘主管部门颁发乙级以上（含乙级）测绘资质(专业类别须涵盖本次招标内容)。</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供应商参加政府采购活动承诺书.docx 标的清单 供应商拒绝政府采购领域商业贿赂承诺书.docx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磋商报价未超过单价最高限价</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整体工作方案</w:t>
            </w:r>
          </w:p>
        </w:tc>
        <w:tc>
          <w:tcPr>
            <w:tcW w:type="dxa" w:w="2492"/>
          </w:tcPr>
          <w:p>
            <w:pPr>
              <w:pStyle w:val="null3"/>
            </w:pPr>
            <w:r>
              <w:rPr>
                <w:rFonts w:ascii="仿宋_GB2312" w:hAnsi="仿宋_GB2312" w:cs="仿宋_GB2312" w:eastAsia="仿宋_GB2312"/>
              </w:rPr>
              <w:t>根据供应商对制定的总体工作方案进行评分： 1.全部响应采购要求与技术要求，方案详细、科学合理得10分； 2.响应采购要求与技术要求，方案较为详细、科学合理得8分， 3.响应采购要求与技术要求，比较齐全、合理可行得6分； 4.基本响应采购要求与技术要求得4分； 5.合理性一般，可行性一般的得2分； 未提供或方案偏差过大得0分。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根据供应商对本项目的关键性技术、重点难点的解决方案进行评分： 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进度计划及保障方案</w:t>
            </w:r>
          </w:p>
        </w:tc>
        <w:tc>
          <w:tcPr>
            <w:tcW w:type="dxa" w:w="2492"/>
          </w:tcPr>
          <w:p>
            <w:pPr>
              <w:pStyle w:val="null3"/>
            </w:pPr>
            <w:r>
              <w:rPr>
                <w:rFonts w:ascii="仿宋_GB2312" w:hAnsi="仿宋_GB2312" w:cs="仿宋_GB2312" w:eastAsia="仿宋_GB2312"/>
              </w:rPr>
              <w:t>根据各供应商提供的进度计划及进度保障措施进行评分： 1.进度计划及进度保障措施全面、详细、明确、可操作性强，得6分； 2.进度计划及进度保障措施较全面，但不够详细、明确、可操作性较强的，得4分； 3.进度计划及进度保障措施不全面，不够详细、明确、可操作性不强的，得2分； 4.无相关内容不得分。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根据各供应商提供的质量保障措施、承诺进行评分： 1.质量保障措施、服务承诺全面、详细、明确、可操作性强，得7分； 2.质量保障措施、承诺较全面，不够详细、明确、可操作性较强的，得5分；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针对本项目数据及成果的信息保密出具整体方案及对应措施。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1.承诺全面、详实，服务质量配合承诺清晰明确，得6分； 2.承诺较为详实全面，服务质量配合承诺基本完善，得4分； 3.承诺不全面，服务质量配合承诺较为简略，得2分；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服务团队岗位设置</w:t>
            </w:r>
          </w:p>
        </w:tc>
        <w:tc>
          <w:tcPr>
            <w:tcW w:type="dxa" w:w="2492"/>
          </w:tcPr>
          <w:p>
            <w:pPr>
              <w:pStyle w:val="null3"/>
            </w:pPr>
            <w:r>
              <w:rPr>
                <w:rFonts w:ascii="仿宋_GB2312" w:hAnsi="仿宋_GB2312" w:cs="仿宋_GB2312" w:eastAsia="仿宋_GB2312"/>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4.未提供或方案偏差过大得0分。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根据拟派服务团队的人员数量、专业技术能力、从业经历等赋分。 1.人员经验丰富、配备合理充足，证明材料齐全得6分； 2.人员有一定经验、人员配备无严重缺漏，但有证明材料得4分； 3.人员缺乏经验、配备情况无法充分完成服务工作，且证明材料不足得2分； 4.未提供或人员配备完全无法胜任本项目工作的得0分。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1.合理化建议详尽、全面、有效、合理，可实施性强，得6分； 2.合理化建议有效、合理、可实施，得4分； 3.合理化建议基本有效，但可实施性有所欠缺，得2分；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2022年1月1日至今同类项目的业绩，提供合同复印件并加盖公章，每提供1份有效业绩得2分，共10分，未提供的不得分。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1.满足磋商文件实质性要求且最后报价最低的供应商磋商单价合计（即各项单价的总和）为投标基准价，其价格分为满分10分。 2.报价得分=（评审基准价/磋商单价合计）×10。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详见附件：测绘服务合同.docx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