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A3D0B">
      <w:pPr>
        <w:keepLines w:val="0"/>
        <w:pageBreakBefore w:val="0"/>
        <w:overflowPunct w:val="0"/>
        <w:topLinePunct w:val="0"/>
        <w:bidi w:val="0"/>
        <w:spacing w:line="560" w:lineRule="exact"/>
        <w:ind w:firstLine="883" w:firstLineChars="200"/>
        <w:jc w:val="both"/>
        <w:rPr>
          <w:rFonts w:hint="eastAsia" w:ascii="仿宋" w:hAnsi="仿宋" w:eastAsia="仿宋" w:cs="仿宋"/>
          <w:b/>
          <w:bCs/>
          <w:color w:val="auto"/>
          <w:sz w:val="44"/>
          <w:szCs w:val="44"/>
          <w:highlight w:val="none"/>
        </w:rPr>
      </w:pPr>
    </w:p>
    <w:p w14:paraId="341BFCDA">
      <w:pPr>
        <w:keepLines w:val="0"/>
        <w:pageBreakBefore w:val="0"/>
        <w:overflowPunct w:val="0"/>
        <w:topLinePunct w:val="0"/>
        <w:bidi w:val="0"/>
        <w:spacing w:line="560" w:lineRule="exact"/>
        <w:ind w:firstLine="883" w:firstLineChars="200"/>
        <w:jc w:val="both"/>
        <w:rPr>
          <w:rFonts w:hint="eastAsia" w:ascii="仿宋" w:hAnsi="仿宋" w:eastAsia="仿宋" w:cs="仿宋"/>
          <w:b/>
          <w:bCs/>
          <w:color w:val="auto"/>
          <w:sz w:val="44"/>
          <w:szCs w:val="44"/>
          <w:highlight w:val="none"/>
        </w:rPr>
      </w:pPr>
      <w:bookmarkStart w:id="17" w:name="_GoBack"/>
      <w:bookmarkEnd w:id="17"/>
    </w:p>
    <w:p w14:paraId="78413453">
      <w:pPr>
        <w:keepLines w:val="0"/>
        <w:pageBreakBefore w:val="0"/>
        <w:overflowPunct w:val="0"/>
        <w:topLinePunct w:val="0"/>
        <w:bidi w:val="0"/>
        <w:spacing w:line="560" w:lineRule="exact"/>
        <w:ind w:firstLine="883" w:firstLineChars="200"/>
        <w:jc w:val="both"/>
        <w:rPr>
          <w:rFonts w:hint="eastAsia" w:ascii="仿宋" w:hAnsi="仿宋" w:eastAsia="仿宋" w:cs="仿宋"/>
          <w:b/>
          <w:bCs/>
          <w:color w:val="auto"/>
          <w:sz w:val="44"/>
          <w:szCs w:val="44"/>
          <w:highlight w:val="none"/>
        </w:rPr>
      </w:pPr>
    </w:p>
    <w:p w14:paraId="16C5BC12">
      <w:pPr>
        <w:keepNext w:val="0"/>
        <w:keepLines w:val="0"/>
        <w:pageBreakBefore w:val="0"/>
        <w:widowControl/>
        <w:kinsoku w:val="0"/>
        <w:wordWrap/>
        <w:overflowPunct w:val="0"/>
        <w:topLinePunct w:val="0"/>
        <w:autoSpaceDE w:val="0"/>
        <w:autoSpaceDN w:val="0"/>
        <w:bidi w:val="0"/>
        <w:adjustRightInd w:val="0"/>
        <w:snapToGrid w:val="0"/>
        <w:spacing w:line="360" w:lineRule="auto"/>
        <w:jc w:val="center"/>
        <w:textAlignment w:val="baseline"/>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长安区政府行政中心职工食堂外包服务</w:t>
      </w:r>
    </w:p>
    <w:p w14:paraId="0EF02AA3">
      <w:pPr>
        <w:keepNext w:val="0"/>
        <w:keepLines w:val="0"/>
        <w:pageBreakBefore w:val="0"/>
        <w:widowControl/>
        <w:kinsoku w:val="0"/>
        <w:wordWrap/>
        <w:overflowPunct w:val="0"/>
        <w:topLinePunct w:val="0"/>
        <w:autoSpaceDE w:val="0"/>
        <w:autoSpaceDN w:val="0"/>
        <w:bidi w:val="0"/>
        <w:adjustRightInd w:val="0"/>
        <w:snapToGrid w:val="0"/>
        <w:spacing w:line="360" w:lineRule="auto"/>
        <w:jc w:val="center"/>
        <w:textAlignment w:val="baseline"/>
        <w:rPr>
          <w:rFonts w:hint="eastAsia" w:ascii="仿宋" w:hAnsi="仿宋" w:eastAsia="仿宋" w:cs="仿宋"/>
          <w:b/>
          <w:bCs/>
          <w:color w:val="auto"/>
          <w:sz w:val="32"/>
          <w:szCs w:val="32"/>
          <w:highlight w:val="none"/>
        </w:rPr>
      </w:pPr>
      <w:r>
        <w:rPr>
          <w:rFonts w:hint="eastAsia" w:ascii="仿宋" w:hAnsi="仿宋" w:eastAsia="仿宋" w:cs="仿宋"/>
          <w:b/>
          <w:bCs/>
          <w:color w:val="auto"/>
          <w:sz w:val="44"/>
          <w:szCs w:val="44"/>
          <w:highlight w:val="none"/>
        </w:rPr>
        <w:t>（2025年）</w:t>
      </w:r>
    </w:p>
    <w:p w14:paraId="528CAF05">
      <w:pPr>
        <w:keepLines w:val="0"/>
        <w:pageBreakBefore w:val="0"/>
        <w:overflowPunct w:val="0"/>
        <w:topLinePunct w:val="0"/>
        <w:bidi w:val="0"/>
        <w:spacing w:line="560" w:lineRule="exact"/>
        <w:ind w:firstLine="420" w:firstLineChars="200"/>
        <w:jc w:val="center"/>
        <w:outlineLvl w:val="9"/>
        <w:rPr>
          <w:rFonts w:hint="eastAsia" w:ascii="仿宋" w:hAnsi="仿宋" w:eastAsia="仿宋" w:cs="仿宋"/>
          <w:color w:val="auto"/>
          <w:highlight w:val="none"/>
        </w:rPr>
      </w:pPr>
    </w:p>
    <w:p w14:paraId="5C148CD1">
      <w:pPr>
        <w:rPr>
          <w:rFonts w:hint="eastAsia" w:ascii="仿宋" w:hAnsi="仿宋" w:eastAsia="仿宋" w:cs="仿宋"/>
          <w:color w:val="auto"/>
          <w:highlight w:val="none"/>
        </w:rPr>
      </w:pPr>
    </w:p>
    <w:p w14:paraId="7B7C2C77">
      <w:pPr>
        <w:rPr>
          <w:rFonts w:hint="eastAsia" w:ascii="仿宋" w:hAnsi="仿宋" w:eastAsia="仿宋" w:cs="仿宋"/>
          <w:color w:val="auto"/>
          <w:highlight w:val="none"/>
        </w:rPr>
      </w:pPr>
    </w:p>
    <w:p w14:paraId="2F81AB1A">
      <w:pPr>
        <w:rPr>
          <w:rFonts w:hint="eastAsia" w:ascii="仿宋" w:hAnsi="仿宋" w:eastAsia="仿宋" w:cs="仿宋"/>
          <w:color w:val="auto"/>
          <w:highlight w:val="none"/>
        </w:rPr>
      </w:pPr>
    </w:p>
    <w:p w14:paraId="4C2E4578">
      <w:pPr>
        <w:rPr>
          <w:rFonts w:hint="eastAsia" w:ascii="仿宋" w:hAnsi="仿宋" w:eastAsia="仿宋" w:cs="仿宋"/>
          <w:color w:val="auto"/>
          <w:highlight w:val="none"/>
        </w:rPr>
      </w:pPr>
    </w:p>
    <w:p w14:paraId="7D377A79">
      <w:pPr>
        <w:rPr>
          <w:rFonts w:hint="eastAsia" w:ascii="仿宋" w:hAnsi="仿宋" w:eastAsia="仿宋" w:cs="仿宋"/>
          <w:color w:val="auto"/>
          <w:highlight w:val="none"/>
        </w:rPr>
      </w:pPr>
    </w:p>
    <w:p w14:paraId="6E0BC0F6">
      <w:pPr>
        <w:rPr>
          <w:rFonts w:hint="eastAsia" w:ascii="仿宋" w:hAnsi="仿宋" w:eastAsia="仿宋" w:cs="仿宋"/>
          <w:color w:val="auto"/>
          <w:highlight w:val="none"/>
        </w:rPr>
      </w:pPr>
    </w:p>
    <w:p w14:paraId="0A7D3257">
      <w:pPr>
        <w:rPr>
          <w:rFonts w:hint="eastAsia" w:ascii="仿宋" w:hAnsi="仿宋" w:eastAsia="仿宋" w:cs="仿宋"/>
          <w:color w:val="auto"/>
          <w:highlight w:val="none"/>
        </w:rPr>
      </w:pPr>
    </w:p>
    <w:p w14:paraId="263238EB">
      <w:pPr>
        <w:rPr>
          <w:rFonts w:hint="eastAsia" w:ascii="仿宋" w:hAnsi="仿宋" w:eastAsia="仿宋" w:cs="仿宋"/>
          <w:color w:val="auto"/>
          <w:highlight w:val="none"/>
        </w:rPr>
      </w:pPr>
    </w:p>
    <w:p w14:paraId="56CD925A">
      <w:pPr>
        <w:keepNext w:val="0"/>
        <w:keepLines w:val="0"/>
        <w:pageBreakBefore w:val="0"/>
        <w:widowControl/>
        <w:kinsoku w:val="0"/>
        <w:wordWrap/>
        <w:overflowPunct w:val="0"/>
        <w:topLinePunct w:val="0"/>
        <w:autoSpaceDE w:val="0"/>
        <w:autoSpaceDN w:val="0"/>
        <w:bidi w:val="0"/>
        <w:adjustRightInd w:val="0"/>
        <w:snapToGrid w:val="0"/>
        <w:spacing w:line="560" w:lineRule="exact"/>
        <w:ind w:firstLine="643" w:firstLineChars="200"/>
        <w:jc w:val="left"/>
        <w:textAlignment w:val="baseline"/>
        <w:rPr>
          <w:rFonts w:hint="eastAsia" w:ascii="仿宋" w:hAnsi="仿宋" w:eastAsia="仿宋" w:cs="仿宋"/>
          <w:b/>
          <w:bCs/>
          <w:color w:val="auto"/>
          <w:sz w:val="32"/>
          <w:szCs w:val="32"/>
          <w:highlight w:val="none"/>
        </w:rPr>
      </w:pPr>
    </w:p>
    <w:p w14:paraId="24BA302F">
      <w:pPr>
        <w:keepNext w:val="0"/>
        <w:keepLines w:val="0"/>
        <w:pageBreakBefore w:val="0"/>
        <w:widowControl w:val="0"/>
        <w:kinsoku/>
        <w:wordWrap w:val="0"/>
        <w:overflowPunct w:val="0"/>
        <w:topLinePunct w:val="0"/>
        <w:autoSpaceDE w:val="0"/>
        <w:autoSpaceDN w:val="0"/>
        <w:bidi w:val="0"/>
        <w:adjustRightInd w:val="0"/>
        <w:snapToGrid w:val="0"/>
        <w:spacing w:line="560" w:lineRule="exact"/>
        <w:ind w:firstLine="1124" w:firstLineChars="400"/>
        <w:jc w:val="left"/>
        <w:textAlignment w:val="baseline"/>
        <w:rPr>
          <w:rFonts w:hint="eastAsia" w:ascii="仿宋" w:hAnsi="仿宋" w:eastAsia="仿宋" w:cs="仿宋"/>
          <w:b/>
          <w:color w:val="auto"/>
          <w:sz w:val="28"/>
          <w:szCs w:val="28"/>
          <w:highlight w:val="none"/>
          <w:lang w:val="en-US"/>
        </w:rPr>
      </w:pPr>
      <w:r>
        <w:rPr>
          <w:rFonts w:hint="eastAsia" w:ascii="仿宋" w:hAnsi="仿宋" w:eastAsia="仿宋" w:cs="仿宋"/>
          <w:b/>
          <w:color w:val="auto"/>
          <w:sz w:val="28"/>
          <w:szCs w:val="28"/>
          <w:highlight w:val="none"/>
          <w:lang w:val="en-US" w:eastAsia="zh-CN"/>
        </w:rPr>
        <w:t>甲方</w:t>
      </w: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val="en-US" w:eastAsia="zh-CN"/>
        </w:rPr>
        <w:t>采购人</w:t>
      </w: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u w:val="single"/>
        </w:rPr>
        <w:t xml:space="preserve"> </w:t>
      </w:r>
      <w:r>
        <w:rPr>
          <w:rFonts w:hint="eastAsia" w:ascii="仿宋" w:hAnsi="仿宋" w:eastAsia="仿宋" w:cs="仿宋"/>
          <w:b/>
          <w:color w:val="auto"/>
          <w:sz w:val="28"/>
          <w:szCs w:val="28"/>
          <w:highlight w:val="none"/>
          <w:u w:val="single"/>
          <w:lang w:val="en-US" w:eastAsia="zh-CN"/>
        </w:rPr>
        <w:t xml:space="preserve">                         </w:t>
      </w:r>
    </w:p>
    <w:p w14:paraId="5780C404">
      <w:pPr>
        <w:keepNext w:val="0"/>
        <w:keepLines w:val="0"/>
        <w:pageBreakBefore w:val="0"/>
        <w:widowControl w:val="0"/>
        <w:kinsoku/>
        <w:wordWrap w:val="0"/>
        <w:overflowPunct w:val="0"/>
        <w:topLinePunct w:val="0"/>
        <w:autoSpaceDE w:val="0"/>
        <w:autoSpaceDN w:val="0"/>
        <w:bidi w:val="0"/>
        <w:adjustRightInd w:val="0"/>
        <w:snapToGrid w:val="0"/>
        <w:spacing w:line="560" w:lineRule="exact"/>
        <w:ind w:firstLine="1124" w:firstLineChars="400"/>
        <w:jc w:val="left"/>
        <w:textAlignment w:val="baseline"/>
        <w:rPr>
          <w:rFonts w:hint="eastAsia" w:ascii="仿宋" w:hAnsi="仿宋" w:eastAsia="仿宋" w:cs="仿宋"/>
          <w:b/>
          <w:color w:val="auto"/>
          <w:sz w:val="28"/>
          <w:szCs w:val="28"/>
          <w:highlight w:val="none"/>
          <w:u w:val="single"/>
        </w:rPr>
      </w:pPr>
      <w:r>
        <w:rPr>
          <w:rFonts w:hint="eastAsia" w:ascii="仿宋" w:hAnsi="仿宋" w:eastAsia="仿宋" w:cs="仿宋"/>
          <w:b/>
          <w:color w:val="auto"/>
          <w:sz w:val="28"/>
          <w:szCs w:val="28"/>
          <w:highlight w:val="none"/>
          <w:lang w:val="en-US" w:eastAsia="zh-CN"/>
        </w:rPr>
        <w:t>乙方</w:t>
      </w: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val="en-US" w:eastAsia="zh-CN"/>
        </w:rPr>
        <w:t>供应商</w:t>
      </w: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u w:val="single"/>
        </w:rPr>
        <w:t xml:space="preserve"> </w:t>
      </w:r>
      <w:r>
        <w:rPr>
          <w:rFonts w:hint="eastAsia" w:ascii="仿宋" w:hAnsi="仿宋" w:eastAsia="仿宋" w:cs="仿宋"/>
          <w:b/>
          <w:color w:val="auto"/>
          <w:sz w:val="28"/>
          <w:szCs w:val="28"/>
          <w:highlight w:val="none"/>
          <w:u w:val="single"/>
          <w:lang w:val="en-US" w:eastAsia="zh-CN"/>
        </w:rPr>
        <w:t xml:space="preserve">                         </w:t>
      </w:r>
    </w:p>
    <w:p w14:paraId="38705E35">
      <w:pPr>
        <w:keepNext w:val="0"/>
        <w:keepLines w:val="0"/>
        <w:pageBreakBefore w:val="0"/>
        <w:widowControl w:val="0"/>
        <w:kinsoku/>
        <w:wordWrap w:val="0"/>
        <w:overflowPunct w:val="0"/>
        <w:topLinePunct w:val="0"/>
        <w:autoSpaceDE w:val="0"/>
        <w:autoSpaceDN w:val="0"/>
        <w:bidi w:val="0"/>
        <w:adjustRightInd w:val="0"/>
        <w:snapToGrid w:val="0"/>
        <w:spacing w:line="560" w:lineRule="exact"/>
        <w:ind w:firstLine="1124" w:firstLineChars="400"/>
        <w:jc w:val="left"/>
        <w:textAlignment w:val="baseline"/>
        <w:rPr>
          <w:rFonts w:hint="eastAsia" w:ascii="仿宋" w:hAnsi="仿宋" w:eastAsia="仿宋" w:cs="仿宋"/>
          <w:b/>
          <w:color w:val="auto"/>
          <w:sz w:val="28"/>
          <w:szCs w:val="28"/>
          <w:highlight w:val="none"/>
          <w:u w:val="single"/>
          <w:lang w:val="en-US" w:eastAsia="zh-CN"/>
        </w:rPr>
      </w:pPr>
      <w:r>
        <w:rPr>
          <w:rFonts w:hint="eastAsia" w:ascii="仿宋" w:hAnsi="仿宋" w:eastAsia="仿宋" w:cs="仿宋"/>
          <w:b/>
          <w:color w:val="auto"/>
          <w:sz w:val="28"/>
          <w:szCs w:val="28"/>
          <w:highlight w:val="none"/>
          <w:u w:val="none"/>
          <w:lang w:val="en-US" w:eastAsia="zh-CN"/>
        </w:rPr>
        <w:t>签  订  日  期：</w:t>
      </w:r>
      <w:r>
        <w:rPr>
          <w:rFonts w:hint="eastAsia" w:ascii="仿宋" w:hAnsi="仿宋" w:eastAsia="仿宋" w:cs="仿宋"/>
          <w:b/>
          <w:color w:val="auto"/>
          <w:sz w:val="28"/>
          <w:szCs w:val="28"/>
          <w:highlight w:val="none"/>
          <w:u w:val="single"/>
        </w:rPr>
        <w:t xml:space="preserve"> </w:t>
      </w:r>
      <w:r>
        <w:rPr>
          <w:rFonts w:hint="eastAsia" w:ascii="仿宋" w:hAnsi="仿宋" w:eastAsia="仿宋" w:cs="仿宋"/>
          <w:b/>
          <w:color w:val="auto"/>
          <w:sz w:val="28"/>
          <w:szCs w:val="28"/>
          <w:highlight w:val="none"/>
          <w:u w:val="single"/>
          <w:lang w:val="en-US" w:eastAsia="zh-CN"/>
        </w:rPr>
        <w:t xml:space="preserve">                         </w:t>
      </w:r>
    </w:p>
    <w:p w14:paraId="7D7EC751">
      <w:pPr>
        <w:keepLines w:val="0"/>
        <w:pageBreakBefore w:val="0"/>
        <w:overflowPunct w:val="0"/>
        <w:topLinePunct w:val="0"/>
        <w:bidi w:val="0"/>
        <w:spacing w:line="560" w:lineRule="exact"/>
        <w:ind w:firstLine="420" w:firstLineChars="200"/>
        <w:jc w:val="left"/>
        <w:rPr>
          <w:rFonts w:hint="eastAsia" w:ascii="仿宋" w:hAnsi="仿宋" w:eastAsia="仿宋" w:cs="仿宋"/>
          <w:color w:val="auto"/>
          <w:highlight w:val="none"/>
        </w:rPr>
      </w:pPr>
    </w:p>
    <w:p w14:paraId="0F050C35">
      <w:pP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br w:type="page"/>
      </w:r>
    </w:p>
    <w:p w14:paraId="21293CDC">
      <w:pPr>
        <w:keepNext w:val="0"/>
        <w:keepLines w:val="0"/>
        <w:pageBreakBefore w:val="0"/>
        <w:widowControl/>
        <w:kinsoku w:val="0"/>
        <w:wordWrap/>
        <w:overflowPunct w:val="0"/>
        <w:topLinePunct w:val="0"/>
        <w:autoSpaceDE w:val="0"/>
        <w:autoSpaceDN w:val="0"/>
        <w:bidi w:val="0"/>
        <w:adjustRightInd w:val="0"/>
        <w:snapToGrid w:val="0"/>
        <w:spacing w:after="0" w:afterLines="100" w:line="360" w:lineRule="auto"/>
        <w:jc w:val="center"/>
        <w:textAlignment w:val="baseline"/>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长安区政府行政中心职工食堂外包服务（2025年）</w:t>
      </w:r>
    </w:p>
    <w:p w14:paraId="426FDA2C">
      <w:pPr>
        <w:pStyle w:val="2"/>
        <w:keepNext w:val="0"/>
        <w:keepLines w:val="0"/>
        <w:pageBreakBefore w:val="0"/>
        <w:widowControl w:val="0"/>
        <w:tabs>
          <w:tab w:val="left" w:pos="567"/>
        </w:tabs>
        <w:kinsoku w:val="0"/>
        <w:wordWrap/>
        <w:overflowPunct w:val="0"/>
        <w:topLinePunct w:val="0"/>
        <w:autoSpaceDE w:val="0"/>
        <w:autoSpaceDN w:val="0"/>
        <w:bidi w:val="0"/>
        <w:adjustRightInd w:val="0"/>
        <w:snapToGrid w:val="0"/>
        <w:spacing w:line="360" w:lineRule="auto"/>
        <w:ind w:left="0" w:leftChars="0" w:firstLine="420" w:firstLineChars="200"/>
        <w:jc w:val="both"/>
        <w:textAlignment w:val="baseline"/>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rPr>
        <w:t>甲</w:t>
      </w:r>
      <w:r>
        <w:rPr>
          <w:rFonts w:hint="eastAsia" w:ascii="仿宋" w:hAnsi="仿宋" w:eastAsia="仿宋" w:cs="仿宋"/>
          <w:color w:val="auto"/>
          <w:spacing w:val="-3"/>
          <w:sz w:val="21"/>
          <w:szCs w:val="21"/>
          <w:highlight w:val="none"/>
        </w:rPr>
        <w:t>方</w:t>
      </w:r>
      <w:r>
        <w:rPr>
          <w:rFonts w:hint="eastAsia" w:ascii="仿宋" w:hAnsi="仿宋" w:eastAsia="仿宋" w:cs="仿宋"/>
          <w:color w:val="auto"/>
          <w:sz w:val="21"/>
          <w:szCs w:val="21"/>
          <w:highlight w:val="none"/>
        </w:rPr>
        <w:t>（采</w:t>
      </w:r>
      <w:r>
        <w:rPr>
          <w:rFonts w:hint="eastAsia" w:ascii="仿宋" w:hAnsi="仿宋" w:eastAsia="仿宋" w:cs="仿宋"/>
          <w:color w:val="auto"/>
          <w:spacing w:val="-3"/>
          <w:sz w:val="21"/>
          <w:szCs w:val="21"/>
          <w:highlight w:val="none"/>
        </w:rPr>
        <w:t>购</w:t>
      </w:r>
      <w:r>
        <w:rPr>
          <w:rFonts w:hint="eastAsia" w:ascii="仿宋" w:hAnsi="仿宋" w:eastAsia="仿宋" w:cs="仿宋"/>
          <w:color w:val="auto"/>
          <w:sz w:val="21"/>
          <w:szCs w:val="21"/>
          <w:highlight w:val="none"/>
        </w:rPr>
        <w:t>人）：</w:t>
      </w:r>
      <w:r>
        <w:rPr>
          <w:rFonts w:hint="eastAsia" w:ascii="仿宋" w:hAnsi="仿宋" w:eastAsia="仿宋" w:cs="仿宋"/>
          <w:b/>
          <w:color w:val="auto"/>
          <w:sz w:val="28"/>
          <w:szCs w:val="28"/>
          <w:highlight w:val="none"/>
          <w:u w:val="single"/>
        </w:rPr>
        <w:t xml:space="preserve"> </w:t>
      </w:r>
      <w:r>
        <w:rPr>
          <w:rFonts w:hint="eastAsia" w:ascii="仿宋" w:hAnsi="仿宋" w:eastAsia="仿宋" w:cs="仿宋"/>
          <w:b/>
          <w:color w:val="auto"/>
          <w:sz w:val="28"/>
          <w:szCs w:val="28"/>
          <w:highlight w:val="none"/>
          <w:u w:val="single"/>
          <w:lang w:val="en-US" w:eastAsia="zh-CN"/>
        </w:rPr>
        <w:t xml:space="preserve">                    </w:t>
      </w:r>
    </w:p>
    <w:p w14:paraId="01074B5B">
      <w:pPr>
        <w:pStyle w:val="2"/>
        <w:keepNext w:val="0"/>
        <w:keepLines w:val="0"/>
        <w:pageBreakBefore w:val="0"/>
        <w:widowControl w:val="0"/>
        <w:tabs>
          <w:tab w:val="left" w:pos="567"/>
        </w:tabs>
        <w:kinsoku w:val="0"/>
        <w:wordWrap/>
        <w:overflowPunct w:val="0"/>
        <w:topLinePunct w:val="0"/>
        <w:autoSpaceDE w:val="0"/>
        <w:autoSpaceDN w:val="0"/>
        <w:bidi w:val="0"/>
        <w:adjustRightInd w:val="0"/>
        <w:snapToGrid w:val="0"/>
        <w:spacing w:line="360" w:lineRule="auto"/>
        <w:ind w:left="0" w:leftChars="0" w:firstLine="420" w:firstLineChars="200"/>
        <w:jc w:val="both"/>
        <w:textAlignment w:val="baseline"/>
        <w:rPr>
          <w:rFonts w:hint="eastAsia" w:ascii="仿宋" w:hAnsi="仿宋" w:eastAsia="仿宋" w:cs="仿宋"/>
          <w:color w:val="auto"/>
          <w:spacing w:val="41"/>
          <w:sz w:val="21"/>
          <w:szCs w:val="21"/>
          <w:highlight w:val="none"/>
          <w:u w:val="single"/>
          <w:lang w:val="en-US" w:eastAsia="zh-CN"/>
        </w:rPr>
      </w:pPr>
      <w:r>
        <w:rPr>
          <w:rFonts w:hint="eastAsia" w:ascii="仿宋" w:hAnsi="仿宋" w:eastAsia="仿宋" w:cs="仿宋"/>
          <w:color w:val="auto"/>
          <w:sz w:val="21"/>
          <w:szCs w:val="21"/>
          <w:highlight w:val="none"/>
        </w:rPr>
        <w:t>甲</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pacing w:val="-3"/>
          <w:sz w:val="21"/>
          <w:szCs w:val="21"/>
          <w:highlight w:val="none"/>
        </w:rPr>
        <w:t>方</w:t>
      </w:r>
      <w:r>
        <w:rPr>
          <w:rFonts w:hint="eastAsia" w:ascii="仿宋" w:hAnsi="仿宋" w:eastAsia="仿宋" w:cs="仿宋"/>
          <w:color w:val="auto"/>
          <w:spacing w:val="-3"/>
          <w:sz w:val="21"/>
          <w:szCs w:val="21"/>
          <w:highlight w:val="none"/>
          <w:lang w:val="en-US" w:eastAsia="zh-CN"/>
        </w:rPr>
        <w:t xml:space="preserve">  地  址</w:t>
      </w:r>
      <w:r>
        <w:rPr>
          <w:rFonts w:hint="eastAsia" w:ascii="仿宋" w:hAnsi="仿宋" w:eastAsia="仿宋" w:cs="仿宋"/>
          <w:color w:val="auto"/>
          <w:spacing w:val="-3"/>
          <w:sz w:val="21"/>
          <w:szCs w:val="21"/>
          <w:highlight w:val="none"/>
        </w:rPr>
        <w:t>：</w:t>
      </w:r>
      <w:r>
        <w:rPr>
          <w:rFonts w:hint="eastAsia" w:ascii="仿宋" w:hAnsi="仿宋" w:eastAsia="仿宋" w:cs="仿宋"/>
          <w:b/>
          <w:color w:val="auto"/>
          <w:sz w:val="28"/>
          <w:szCs w:val="28"/>
          <w:highlight w:val="none"/>
          <w:u w:val="single"/>
        </w:rPr>
        <w:t xml:space="preserve"> </w:t>
      </w:r>
      <w:r>
        <w:rPr>
          <w:rFonts w:hint="eastAsia" w:ascii="仿宋" w:hAnsi="仿宋" w:eastAsia="仿宋" w:cs="仿宋"/>
          <w:b/>
          <w:color w:val="auto"/>
          <w:sz w:val="28"/>
          <w:szCs w:val="28"/>
          <w:highlight w:val="none"/>
          <w:u w:val="single"/>
          <w:lang w:val="en-US" w:eastAsia="zh-CN"/>
        </w:rPr>
        <w:t xml:space="preserve">                    </w:t>
      </w:r>
    </w:p>
    <w:p w14:paraId="6D52119F">
      <w:pPr>
        <w:pStyle w:val="2"/>
        <w:keepNext w:val="0"/>
        <w:keepLines w:val="0"/>
        <w:pageBreakBefore w:val="0"/>
        <w:widowControl w:val="0"/>
        <w:tabs>
          <w:tab w:val="left" w:pos="567"/>
        </w:tabs>
        <w:kinsoku w:val="0"/>
        <w:wordWrap/>
        <w:overflowPunct w:val="0"/>
        <w:topLinePunct w:val="0"/>
        <w:autoSpaceDE w:val="0"/>
        <w:autoSpaceDN w:val="0"/>
        <w:bidi w:val="0"/>
        <w:adjustRightInd w:val="0"/>
        <w:snapToGrid w:val="0"/>
        <w:spacing w:line="360" w:lineRule="auto"/>
        <w:ind w:left="0" w:leftChars="0" w:firstLine="420" w:firstLineChars="200"/>
        <w:jc w:val="both"/>
        <w:textAlignment w:val="baseline"/>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rPr>
        <w:t>乙</w:t>
      </w:r>
      <w:r>
        <w:rPr>
          <w:rFonts w:hint="eastAsia" w:ascii="仿宋" w:hAnsi="仿宋" w:eastAsia="仿宋" w:cs="仿宋"/>
          <w:color w:val="auto"/>
          <w:spacing w:val="-3"/>
          <w:sz w:val="21"/>
          <w:szCs w:val="21"/>
          <w:highlight w:val="none"/>
        </w:rPr>
        <w:t>方</w:t>
      </w:r>
      <w:r>
        <w:rPr>
          <w:rFonts w:hint="eastAsia" w:ascii="仿宋" w:hAnsi="仿宋" w:eastAsia="仿宋" w:cs="仿宋"/>
          <w:color w:val="auto"/>
          <w:sz w:val="21"/>
          <w:szCs w:val="21"/>
          <w:highlight w:val="none"/>
        </w:rPr>
        <w:t>（供应</w:t>
      </w:r>
      <w:r>
        <w:rPr>
          <w:rFonts w:hint="eastAsia" w:ascii="仿宋" w:hAnsi="仿宋" w:eastAsia="仿宋" w:cs="仿宋"/>
          <w:color w:val="auto"/>
          <w:spacing w:val="-3"/>
          <w:sz w:val="21"/>
          <w:szCs w:val="21"/>
          <w:highlight w:val="none"/>
        </w:rPr>
        <w:t>商</w:t>
      </w:r>
      <w:r>
        <w:rPr>
          <w:rFonts w:hint="eastAsia" w:ascii="仿宋" w:hAnsi="仿宋" w:eastAsia="仿宋" w:cs="仿宋"/>
          <w:color w:val="auto"/>
          <w:sz w:val="21"/>
          <w:szCs w:val="21"/>
          <w:highlight w:val="none"/>
        </w:rPr>
        <w:t>）：</w:t>
      </w:r>
      <w:r>
        <w:rPr>
          <w:rFonts w:hint="eastAsia" w:ascii="仿宋" w:hAnsi="仿宋" w:eastAsia="仿宋" w:cs="仿宋"/>
          <w:b/>
          <w:color w:val="auto"/>
          <w:sz w:val="28"/>
          <w:szCs w:val="28"/>
          <w:highlight w:val="none"/>
          <w:u w:val="single"/>
        </w:rPr>
        <w:t xml:space="preserve"> </w:t>
      </w:r>
      <w:r>
        <w:rPr>
          <w:rFonts w:hint="eastAsia" w:ascii="仿宋" w:hAnsi="仿宋" w:eastAsia="仿宋" w:cs="仿宋"/>
          <w:b/>
          <w:color w:val="auto"/>
          <w:sz w:val="28"/>
          <w:szCs w:val="28"/>
          <w:highlight w:val="none"/>
          <w:u w:val="single"/>
          <w:lang w:val="en-US" w:eastAsia="zh-CN"/>
        </w:rPr>
        <w:t xml:space="preserve">                    </w:t>
      </w:r>
    </w:p>
    <w:p w14:paraId="75D3F86F">
      <w:pPr>
        <w:pStyle w:val="2"/>
        <w:keepNext w:val="0"/>
        <w:keepLines w:val="0"/>
        <w:pageBreakBefore w:val="0"/>
        <w:widowControl w:val="0"/>
        <w:tabs>
          <w:tab w:val="left" w:pos="567"/>
        </w:tabs>
        <w:kinsoku w:val="0"/>
        <w:wordWrap/>
        <w:overflowPunct w:val="0"/>
        <w:topLinePunct w:val="0"/>
        <w:autoSpaceDE w:val="0"/>
        <w:autoSpaceDN w:val="0"/>
        <w:bidi w:val="0"/>
        <w:adjustRightInd w:val="0"/>
        <w:snapToGrid w:val="0"/>
        <w:spacing w:line="360" w:lineRule="auto"/>
        <w:ind w:left="0" w:leftChars="0" w:firstLine="420" w:firstLineChars="20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乙</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pacing w:val="-3"/>
          <w:sz w:val="21"/>
          <w:szCs w:val="21"/>
          <w:highlight w:val="none"/>
        </w:rPr>
        <w:t>方</w:t>
      </w:r>
      <w:r>
        <w:rPr>
          <w:rFonts w:hint="eastAsia" w:ascii="仿宋" w:hAnsi="仿宋" w:eastAsia="仿宋" w:cs="仿宋"/>
          <w:color w:val="auto"/>
          <w:spacing w:val="-3"/>
          <w:sz w:val="21"/>
          <w:szCs w:val="21"/>
          <w:highlight w:val="none"/>
          <w:lang w:val="en-US" w:eastAsia="zh-CN"/>
        </w:rPr>
        <w:t xml:space="preserve">  地  址</w:t>
      </w:r>
      <w:r>
        <w:rPr>
          <w:rFonts w:hint="eastAsia" w:ascii="仿宋" w:hAnsi="仿宋" w:eastAsia="仿宋" w:cs="仿宋"/>
          <w:color w:val="auto"/>
          <w:spacing w:val="-3"/>
          <w:sz w:val="21"/>
          <w:szCs w:val="21"/>
          <w:highlight w:val="none"/>
        </w:rPr>
        <w:t>：</w:t>
      </w:r>
      <w:r>
        <w:rPr>
          <w:rFonts w:hint="eastAsia" w:ascii="仿宋" w:hAnsi="仿宋" w:eastAsia="仿宋" w:cs="仿宋"/>
          <w:b/>
          <w:color w:val="auto"/>
          <w:sz w:val="28"/>
          <w:szCs w:val="28"/>
          <w:highlight w:val="none"/>
          <w:u w:val="single"/>
        </w:rPr>
        <w:t xml:space="preserve"> </w:t>
      </w:r>
      <w:r>
        <w:rPr>
          <w:rFonts w:hint="eastAsia" w:ascii="仿宋" w:hAnsi="仿宋" w:eastAsia="仿宋" w:cs="仿宋"/>
          <w:b/>
          <w:color w:val="auto"/>
          <w:sz w:val="28"/>
          <w:szCs w:val="28"/>
          <w:highlight w:val="none"/>
          <w:u w:val="single"/>
          <w:lang w:val="en-US" w:eastAsia="zh-CN"/>
        </w:rPr>
        <w:t xml:space="preserve">                    </w:t>
      </w:r>
    </w:p>
    <w:p w14:paraId="28D5E0D3">
      <w:pPr>
        <w:pStyle w:val="2"/>
        <w:keepNext w:val="0"/>
        <w:keepLines w:val="0"/>
        <w:pageBreakBefore w:val="0"/>
        <w:widowControl w:val="0"/>
        <w:tabs>
          <w:tab w:val="left" w:pos="567"/>
        </w:tabs>
        <w:kinsoku w:val="0"/>
        <w:wordWrap/>
        <w:overflowPunct w:val="0"/>
        <w:topLinePunct w:val="0"/>
        <w:autoSpaceDE w:val="0"/>
        <w:autoSpaceDN w:val="0"/>
        <w:bidi w:val="0"/>
        <w:adjustRightInd w:val="0"/>
        <w:snapToGrid w:val="0"/>
        <w:spacing w:line="360" w:lineRule="auto"/>
        <w:ind w:left="0" w:leftChars="0" w:firstLine="420" w:firstLineChars="20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根据《中华人民共和国政府采购法》及实施条例、《中华人民共和国民法典》和〈长安区政府行政中心职工食堂外包服务（2025年）</w:t>
      </w:r>
      <w:r>
        <w:rPr>
          <w:rFonts w:hint="eastAsia" w:ascii="仿宋" w:hAnsi="仿宋" w:eastAsia="仿宋" w:cs="仿宋"/>
          <w:color w:val="auto"/>
          <w:sz w:val="21"/>
          <w:szCs w:val="21"/>
          <w:highlight w:val="none"/>
        </w:rPr>
        <w:t>〉（项目编号：</w:t>
      </w:r>
      <w:r>
        <w:rPr>
          <w:rFonts w:hint="eastAsia" w:ascii="仿宋_GB2312" w:hAnsi="仿宋_GB2312" w:eastAsia="仿宋_GB2312" w:cs="仿宋_GB2312"/>
          <w:sz w:val="24"/>
          <w:highlight w:val="none"/>
        </w:rPr>
        <w:t>SCZA2025-ZB-0984-001</w:t>
      </w:r>
      <w:r>
        <w:rPr>
          <w:rFonts w:hint="eastAsia" w:ascii="仿宋" w:hAnsi="仿宋" w:eastAsia="仿宋" w:cs="仿宋"/>
          <w:color w:val="auto"/>
          <w:sz w:val="21"/>
          <w:szCs w:val="21"/>
          <w:highlight w:val="none"/>
        </w:rPr>
        <w:t>）的招标文</w:t>
      </w:r>
      <w:r>
        <w:rPr>
          <w:rFonts w:hint="eastAsia" w:ascii="仿宋" w:hAnsi="仿宋" w:eastAsia="仿宋" w:cs="仿宋"/>
          <w:color w:val="auto"/>
          <w:sz w:val="21"/>
          <w:szCs w:val="21"/>
          <w:highlight w:val="none"/>
        </w:rPr>
        <w:t>件、投标文件等有关规定，为确保甲方采购项目的顺利实施，甲、乙双方在平等自愿原则下签订本合同，并共同遵守如下条款：</w:t>
      </w:r>
    </w:p>
    <w:p w14:paraId="145105CF">
      <w:pPr>
        <w:pStyle w:val="16"/>
        <w:keepNext w:val="0"/>
        <w:keepLines w:val="0"/>
        <w:pageBreakBefore w:val="0"/>
        <w:wordWrap/>
        <w:overflowPunct w:val="0"/>
        <w:topLinePunct w:val="0"/>
        <w:bidi w:val="0"/>
        <w:snapToGrid w:val="0"/>
        <w:spacing w:line="360" w:lineRule="auto"/>
        <w:ind w:left="0" w:leftChars="0" w:firstLine="422" w:firstLineChars="200"/>
        <w:jc w:val="both"/>
        <w:rPr>
          <w:rFonts w:hint="eastAsia" w:ascii="仿宋" w:hAnsi="仿宋" w:eastAsia="仿宋" w:cs="仿宋"/>
          <w:b/>
          <w:color w:val="auto"/>
          <w:spacing w:val="-13"/>
          <w:sz w:val="21"/>
          <w:szCs w:val="21"/>
          <w:highlight w:val="none"/>
        </w:rPr>
      </w:pPr>
      <w:bookmarkStart w:id="0" w:name="第一条__项目基本情况"/>
      <w:bookmarkEnd w:id="0"/>
      <w:r>
        <w:rPr>
          <w:rFonts w:hint="eastAsia" w:ascii="仿宋" w:hAnsi="仿宋" w:eastAsia="仿宋" w:cs="仿宋"/>
          <w:b/>
          <w:color w:val="auto"/>
          <w:sz w:val="21"/>
          <w:szCs w:val="21"/>
          <w:highlight w:val="none"/>
        </w:rPr>
        <w:t>第一条</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项目基本情</w:t>
      </w:r>
      <w:r>
        <w:rPr>
          <w:rFonts w:hint="eastAsia" w:ascii="仿宋" w:hAnsi="仿宋" w:eastAsia="仿宋" w:cs="仿宋"/>
          <w:b/>
          <w:color w:val="auto"/>
          <w:spacing w:val="-13"/>
          <w:sz w:val="21"/>
          <w:szCs w:val="21"/>
          <w:highlight w:val="none"/>
        </w:rPr>
        <w:t>况</w:t>
      </w:r>
    </w:p>
    <w:p w14:paraId="7487A324">
      <w:pPr>
        <w:keepNext w:val="0"/>
        <w:keepLines w:val="0"/>
        <w:pageBreakBefore w:val="0"/>
        <w:tabs>
          <w:tab w:val="left" w:pos="2564"/>
        </w:tabs>
        <w:wordWrap/>
        <w:overflowPunct w:val="0"/>
        <w:topLinePunct w:val="0"/>
        <w:bidi w:val="0"/>
        <w:snapToGrid w:val="0"/>
        <w:spacing w:line="360" w:lineRule="auto"/>
        <w:ind w:left="0" w:leftChars="0" w:firstLine="315" w:firstLineChars="150"/>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1．</w:t>
      </w:r>
      <w:r>
        <w:rPr>
          <w:rFonts w:hint="eastAsia" w:ascii="仿宋" w:hAnsi="仿宋" w:eastAsia="仿宋" w:cs="仿宋"/>
          <w:color w:val="auto"/>
          <w:spacing w:val="-3"/>
          <w:sz w:val="21"/>
          <w:szCs w:val="21"/>
          <w:highlight w:val="none"/>
        </w:rPr>
        <w:t>采</w:t>
      </w:r>
      <w:r>
        <w:rPr>
          <w:rFonts w:hint="eastAsia" w:ascii="仿宋" w:hAnsi="仿宋" w:eastAsia="仿宋" w:cs="仿宋"/>
          <w:color w:val="auto"/>
          <w:sz w:val="21"/>
          <w:szCs w:val="21"/>
          <w:highlight w:val="none"/>
        </w:rPr>
        <w:t>购标</w:t>
      </w:r>
      <w:r>
        <w:rPr>
          <w:rFonts w:hint="eastAsia" w:ascii="仿宋" w:hAnsi="仿宋" w:eastAsia="仿宋" w:cs="仿宋"/>
          <w:color w:val="auto"/>
          <w:spacing w:val="-3"/>
          <w:sz w:val="21"/>
          <w:szCs w:val="21"/>
          <w:highlight w:val="none"/>
        </w:rPr>
        <w:t>的</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长安区政府行政中心职工食堂外包服务（2025年）</w:t>
      </w:r>
    </w:p>
    <w:p w14:paraId="693C98D2">
      <w:pPr>
        <w:pStyle w:val="2"/>
        <w:keepNext w:val="0"/>
        <w:keepLines w:val="0"/>
        <w:pageBreakBefore w:val="0"/>
        <w:tabs>
          <w:tab w:val="left" w:pos="567"/>
        </w:tabs>
        <w:wordWrap/>
        <w:overflowPunct w:val="0"/>
        <w:topLinePunct w:val="0"/>
        <w:bidi w:val="0"/>
        <w:snapToGrid w:val="0"/>
        <w:spacing w:line="360" w:lineRule="auto"/>
        <w:ind w:left="0" w:leftChars="0" w:firstLine="315" w:firstLineChars="150"/>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2．数量：</w:t>
      </w:r>
      <w:r>
        <w:rPr>
          <w:rFonts w:hint="eastAsia" w:ascii="仿宋" w:hAnsi="仿宋" w:eastAsia="仿宋" w:cs="仿宋"/>
          <w:color w:val="auto"/>
          <w:sz w:val="21"/>
          <w:szCs w:val="21"/>
          <w:highlight w:val="none"/>
          <w:u w:val="single"/>
          <w:lang w:val="en-US" w:eastAsia="zh-CN"/>
        </w:rPr>
        <w:t xml:space="preserve"> 1 </w:t>
      </w:r>
      <w:r>
        <w:rPr>
          <w:rFonts w:hint="eastAsia" w:ascii="仿宋" w:hAnsi="仿宋" w:eastAsia="仿宋" w:cs="仿宋"/>
          <w:color w:val="auto"/>
          <w:sz w:val="21"/>
          <w:szCs w:val="21"/>
          <w:highlight w:val="none"/>
          <w:lang w:val="en-US" w:eastAsia="zh-CN"/>
        </w:rPr>
        <w:t>项</w:t>
      </w:r>
    </w:p>
    <w:p w14:paraId="533BE5DF">
      <w:pPr>
        <w:pStyle w:val="16"/>
        <w:keepNext w:val="0"/>
        <w:keepLines w:val="0"/>
        <w:pageBreakBefore w:val="0"/>
        <w:numPr>
          <w:ilvl w:val="0"/>
          <w:numId w:val="0"/>
        </w:numPr>
        <w:wordWrap/>
        <w:overflowPunct w:val="0"/>
        <w:topLinePunct w:val="0"/>
        <w:bidi w:val="0"/>
        <w:snapToGrid w:val="0"/>
        <w:spacing w:line="360" w:lineRule="auto"/>
        <w:ind w:firstLine="422" w:firstLineChars="200"/>
        <w:jc w:val="both"/>
        <w:rPr>
          <w:rFonts w:hint="eastAsia" w:ascii="仿宋" w:hAnsi="仿宋" w:eastAsia="仿宋" w:cs="仿宋"/>
          <w:b/>
          <w:color w:val="auto"/>
          <w:sz w:val="21"/>
          <w:szCs w:val="21"/>
          <w:highlight w:val="none"/>
        </w:rPr>
      </w:pPr>
      <w:bookmarkStart w:id="1" w:name="第二条__履约期限、地点及方式"/>
      <w:bookmarkEnd w:id="1"/>
      <w:r>
        <w:rPr>
          <w:rFonts w:hint="eastAsia" w:ascii="仿宋" w:hAnsi="仿宋" w:eastAsia="仿宋" w:cs="仿宋"/>
          <w:b/>
          <w:color w:val="auto"/>
          <w:sz w:val="21"/>
          <w:szCs w:val="21"/>
          <w:highlight w:val="none"/>
          <w:lang w:val="en-US" w:eastAsia="zh-CN"/>
        </w:rPr>
        <w:t>第二条  服务期限</w:t>
      </w:r>
      <w:r>
        <w:rPr>
          <w:rFonts w:hint="eastAsia" w:ascii="仿宋" w:hAnsi="仿宋" w:eastAsia="仿宋" w:cs="仿宋"/>
          <w:b/>
          <w:color w:val="auto"/>
          <w:sz w:val="21"/>
          <w:szCs w:val="21"/>
          <w:highlight w:val="none"/>
        </w:rPr>
        <w:t>、地点及方式</w:t>
      </w:r>
    </w:p>
    <w:p w14:paraId="59DD8E6D">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r>
        <w:rPr>
          <w:rFonts w:hint="eastAsia" w:ascii="仿宋" w:hAnsi="仿宋" w:eastAsia="仿宋" w:cs="仿宋"/>
          <w:color w:val="auto"/>
          <w:spacing w:val="-3"/>
          <w:sz w:val="21"/>
          <w:szCs w:val="21"/>
          <w:highlight w:val="none"/>
          <w:lang w:val="en-US" w:eastAsia="zh-CN"/>
        </w:rPr>
        <w:t>服务期限</w:t>
      </w:r>
      <w:r>
        <w:rPr>
          <w:rFonts w:hint="eastAsia" w:ascii="仿宋" w:hAnsi="仿宋" w:eastAsia="仿宋" w:cs="仿宋"/>
          <w:color w:val="auto"/>
          <w:sz w:val="21"/>
          <w:szCs w:val="21"/>
          <w:highlight w:val="none"/>
        </w:rPr>
        <w:t>：</w:t>
      </w:r>
      <w:r>
        <w:rPr>
          <w:rFonts w:hint="eastAsia" w:ascii="仿宋" w:hAnsi="仿宋" w:eastAsia="仿宋" w:cs="仿宋"/>
          <w:bCs/>
          <w:color w:val="auto"/>
          <w:kern w:val="0"/>
          <w:sz w:val="21"/>
          <w:szCs w:val="21"/>
          <w:highlight w:val="none"/>
          <w:lang w:eastAsia="zh-CN"/>
        </w:rPr>
        <w:t>自合同签订之日起壹年（本项目采取一次招标叁年延用、实行壹年一考核、一签合同的办法）</w:t>
      </w:r>
    </w:p>
    <w:p w14:paraId="37CE916F">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因甲方原因和人力不可抗拒的自然影响，工期相应顺延，但总服务期限不变。由于乙方原因造成服务期限延误，服务期限不予顺延，责任由乙方自行承担。</w:t>
      </w:r>
    </w:p>
    <w:p w14:paraId="562599BC">
      <w:pPr>
        <w:pStyle w:val="17"/>
        <w:keepNext w:val="0"/>
        <w:keepLines w:val="0"/>
        <w:pageBreakBefore w:val="0"/>
        <w:widowControl w:val="0"/>
        <w:tabs>
          <w:tab w:val="left" w:pos="1863"/>
        </w:tabs>
        <w:wordWrap/>
        <w:overflowPunct w:val="0"/>
        <w:topLinePunct w:val="0"/>
        <w:autoSpaceDE w:val="0"/>
        <w:autoSpaceDN w:val="0"/>
        <w:bidi w:val="0"/>
        <w:snapToGrid w:val="0"/>
        <w:spacing w:line="360" w:lineRule="auto"/>
        <w:ind w:firstLine="408" w:firstLineChars="200"/>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pacing w:val="-3"/>
          <w:sz w:val="21"/>
          <w:szCs w:val="21"/>
          <w:highlight w:val="none"/>
        </w:rPr>
        <w:t>2.履约地点：</w:t>
      </w:r>
      <w:r>
        <w:rPr>
          <w:rFonts w:hint="eastAsia" w:ascii="仿宋" w:hAnsi="仿宋" w:eastAsia="仿宋" w:cs="仿宋"/>
          <w:color w:val="auto"/>
          <w:spacing w:val="-3"/>
          <w:sz w:val="21"/>
          <w:szCs w:val="21"/>
          <w:highlight w:val="none"/>
          <w:u w:val="single"/>
          <w:lang w:val="en-US" w:eastAsia="zh-CN"/>
        </w:rPr>
        <w:t>长安区政府</w:t>
      </w:r>
    </w:p>
    <w:p w14:paraId="676237CD">
      <w:pPr>
        <w:pStyle w:val="17"/>
        <w:keepNext w:val="0"/>
        <w:keepLines w:val="0"/>
        <w:pageBreakBefore w:val="0"/>
        <w:widowControl w:val="0"/>
        <w:tabs>
          <w:tab w:val="left" w:pos="1863"/>
        </w:tabs>
        <w:wordWrap/>
        <w:overflowPunct w:val="0"/>
        <w:topLinePunct w:val="0"/>
        <w:autoSpaceDE w:val="0"/>
        <w:autoSpaceDN w:val="0"/>
        <w:bidi w:val="0"/>
        <w:snapToGrid w:val="0"/>
        <w:spacing w:line="360" w:lineRule="auto"/>
        <w:ind w:firstLine="408" w:firstLineChars="200"/>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pacing w:val="-3"/>
          <w:sz w:val="21"/>
          <w:szCs w:val="21"/>
          <w:highlight w:val="none"/>
        </w:rPr>
        <w:t>3.履约方式：</w:t>
      </w:r>
      <w:r>
        <w:rPr>
          <w:rFonts w:hint="eastAsia" w:ascii="仿宋" w:hAnsi="仿宋" w:eastAsia="仿宋" w:cs="仿宋"/>
          <w:color w:val="auto"/>
          <w:spacing w:val="-3"/>
          <w:sz w:val="21"/>
          <w:szCs w:val="21"/>
          <w:highlight w:val="none"/>
          <w:u w:val="single"/>
          <w:lang w:val="en-US" w:eastAsia="zh-CN"/>
        </w:rPr>
        <w:t>招标内容及要求（详见本合同第二部分合同条款）</w:t>
      </w:r>
    </w:p>
    <w:p w14:paraId="28AAF688">
      <w:pPr>
        <w:pStyle w:val="16"/>
        <w:keepNext w:val="0"/>
        <w:keepLines w:val="0"/>
        <w:pageBreakBefore w:val="0"/>
        <w:wordWrap/>
        <w:overflowPunct w:val="0"/>
        <w:topLinePunct w:val="0"/>
        <w:bidi w:val="0"/>
        <w:snapToGrid w:val="0"/>
        <w:spacing w:line="360" w:lineRule="auto"/>
        <w:ind w:left="0" w:leftChars="0" w:firstLine="422" w:firstLineChars="200"/>
        <w:jc w:val="both"/>
        <w:rPr>
          <w:rFonts w:hint="eastAsia" w:ascii="仿宋" w:hAnsi="仿宋" w:eastAsia="仿宋" w:cs="仿宋"/>
          <w:b/>
          <w:color w:val="auto"/>
          <w:sz w:val="21"/>
          <w:szCs w:val="21"/>
          <w:highlight w:val="none"/>
        </w:rPr>
      </w:pPr>
      <w:bookmarkStart w:id="2" w:name="第三条__质量标准"/>
      <w:bookmarkEnd w:id="2"/>
      <w:r>
        <w:rPr>
          <w:rFonts w:hint="eastAsia" w:ascii="仿宋" w:hAnsi="仿宋" w:eastAsia="仿宋" w:cs="仿宋"/>
          <w:b/>
          <w:color w:val="auto"/>
          <w:sz w:val="21"/>
          <w:szCs w:val="21"/>
          <w:highlight w:val="none"/>
        </w:rPr>
        <w:t>第三条</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质量标准</w:t>
      </w:r>
    </w:p>
    <w:p w14:paraId="60C6DBD6">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整个项目应符合国家有关行业规范和标准</w:t>
      </w:r>
    </w:p>
    <w:p w14:paraId="08FE6067">
      <w:pPr>
        <w:pStyle w:val="16"/>
        <w:keepNext w:val="0"/>
        <w:keepLines w:val="0"/>
        <w:pageBreakBefore w:val="0"/>
        <w:wordWrap/>
        <w:overflowPunct w:val="0"/>
        <w:topLinePunct w:val="0"/>
        <w:bidi w:val="0"/>
        <w:snapToGrid w:val="0"/>
        <w:spacing w:line="360" w:lineRule="auto"/>
        <w:ind w:left="0" w:leftChars="0" w:firstLine="422" w:firstLineChars="200"/>
        <w:jc w:val="both"/>
        <w:rPr>
          <w:rFonts w:hint="eastAsia" w:ascii="仿宋" w:hAnsi="仿宋" w:eastAsia="仿宋" w:cs="仿宋"/>
          <w:b/>
          <w:color w:val="auto"/>
          <w:sz w:val="21"/>
          <w:szCs w:val="21"/>
          <w:highlight w:val="none"/>
        </w:rPr>
      </w:pPr>
      <w:bookmarkStart w:id="3" w:name="第四条__合同价款及支付方式"/>
      <w:bookmarkEnd w:id="3"/>
      <w:r>
        <w:rPr>
          <w:rFonts w:hint="eastAsia" w:ascii="仿宋" w:hAnsi="仿宋" w:eastAsia="仿宋" w:cs="仿宋"/>
          <w:b/>
          <w:color w:val="auto"/>
          <w:sz w:val="21"/>
          <w:szCs w:val="21"/>
          <w:highlight w:val="none"/>
        </w:rPr>
        <w:t>第四条</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合同价款及支付方式</w:t>
      </w:r>
    </w:p>
    <w:p w14:paraId="4F980828">
      <w:pPr>
        <w:pStyle w:val="2"/>
        <w:keepNext w:val="0"/>
        <w:keepLines w:val="0"/>
        <w:pageBreakBefore w:val="0"/>
        <w:widowControl w:val="0"/>
        <w:tabs>
          <w:tab w:val="left" w:pos="567"/>
        </w:tabs>
        <w:kinsoku w:val="0"/>
        <w:wordWrap/>
        <w:overflowPunct w:val="0"/>
        <w:topLinePunct w:val="0"/>
        <w:autoSpaceDE w:val="0"/>
        <w:autoSpaceDN w:val="0"/>
        <w:bidi w:val="0"/>
        <w:adjustRightInd w:val="0"/>
        <w:snapToGrid w:val="0"/>
        <w:spacing w:line="360" w:lineRule="auto"/>
        <w:ind w:left="0" w:leftChars="0" w:firstLine="420" w:firstLineChars="200"/>
        <w:jc w:val="both"/>
        <w:textAlignment w:val="baseline"/>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rPr>
        <w:t>1．</w:t>
      </w:r>
      <w:r>
        <w:rPr>
          <w:rFonts w:hint="eastAsia" w:ascii="仿宋" w:hAnsi="仿宋" w:eastAsia="仿宋" w:cs="仿宋"/>
          <w:color w:val="auto"/>
          <w:spacing w:val="-3"/>
          <w:sz w:val="21"/>
          <w:szCs w:val="21"/>
          <w:highlight w:val="none"/>
        </w:rPr>
        <w:t>合</w:t>
      </w:r>
      <w:r>
        <w:rPr>
          <w:rFonts w:hint="eastAsia" w:ascii="仿宋" w:hAnsi="仿宋" w:eastAsia="仿宋" w:cs="仿宋"/>
          <w:color w:val="auto"/>
          <w:sz w:val="21"/>
          <w:szCs w:val="21"/>
          <w:highlight w:val="none"/>
        </w:rPr>
        <w:t>同价</w:t>
      </w:r>
      <w:r>
        <w:rPr>
          <w:rFonts w:hint="eastAsia" w:ascii="仿宋" w:hAnsi="仿宋" w:eastAsia="仿宋" w:cs="仿宋"/>
          <w:color w:val="auto"/>
          <w:spacing w:val="-3"/>
          <w:sz w:val="21"/>
          <w:szCs w:val="21"/>
          <w:highlight w:val="none"/>
        </w:rPr>
        <w:t>款</w:t>
      </w:r>
      <w:r>
        <w:rPr>
          <w:rFonts w:hint="eastAsia" w:ascii="仿宋" w:hAnsi="仿宋" w:eastAsia="仿宋" w:cs="仿宋"/>
          <w:color w:val="auto"/>
          <w:sz w:val="21"/>
          <w:szCs w:val="21"/>
          <w:highlight w:val="none"/>
        </w:rPr>
        <w:t>包括：</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暂定合同总价为：</w:t>
      </w:r>
      <w:r>
        <w:rPr>
          <w:rFonts w:hint="eastAsia" w:ascii="仿宋" w:hAnsi="仿宋" w:eastAsia="仿宋" w:cs="仿宋"/>
          <w:b/>
          <w:color w:val="auto"/>
          <w:sz w:val="28"/>
          <w:szCs w:val="28"/>
          <w:highlight w:val="none"/>
          <w:u w:val="single"/>
        </w:rPr>
        <w:t xml:space="preserve"> </w:t>
      </w:r>
      <w:r>
        <w:rPr>
          <w:rFonts w:hint="eastAsia" w:ascii="仿宋" w:hAnsi="仿宋" w:eastAsia="仿宋" w:cs="仿宋"/>
          <w:b/>
          <w:color w:val="auto"/>
          <w:sz w:val="28"/>
          <w:szCs w:val="28"/>
          <w:highlight w:val="none"/>
          <w:u w:val="single"/>
          <w:lang w:val="en-US" w:eastAsia="zh-CN"/>
        </w:rPr>
        <w:t xml:space="preserve">                 </w:t>
      </w:r>
      <w:r>
        <w:rPr>
          <w:rFonts w:hint="eastAsia" w:ascii="仿宋" w:hAnsi="仿宋" w:eastAsia="仿宋" w:cs="仿宋"/>
          <w:color w:val="auto"/>
          <w:sz w:val="21"/>
          <w:szCs w:val="21"/>
          <w:highlight w:val="none"/>
          <w:u w:val="none"/>
          <w:lang w:val="en-US" w:eastAsia="zh-CN"/>
        </w:rPr>
        <w:t>；（2）合同固定单价为：</w:t>
      </w:r>
      <w:r>
        <w:rPr>
          <w:rFonts w:hint="eastAsia" w:ascii="仿宋" w:hAnsi="仿宋" w:eastAsia="仿宋" w:cs="仿宋"/>
          <w:b/>
          <w:color w:val="auto"/>
          <w:sz w:val="28"/>
          <w:szCs w:val="28"/>
          <w:highlight w:val="none"/>
          <w:u w:val="single"/>
        </w:rPr>
        <w:t xml:space="preserve"> </w:t>
      </w:r>
      <w:r>
        <w:rPr>
          <w:rFonts w:hint="eastAsia" w:ascii="仿宋" w:hAnsi="仿宋" w:eastAsia="仿宋" w:cs="仿宋"/>
          <w:b/>
          <w:color w:val="auto"/>
          <w:sz w:val="28"/>
          <w:szCs w:val="28"/>
          <w:highlight w:val="none"/>
          <w:u w:val="single"/>
          <w:lang w:val="en-US" w:eastAsia="zh-CN"/>
        </w:rPr>
        <w:t xml:space="preserve">                    </w:t>
      </w:r>
      <w:r>
        <w:rPr>
          <w:rFonts w:hint="eastAsia" w:ascii="仿宋" w:hAnsi="仿宋" w:eastAsia="仿宋" w:cs="仿宋"/>
          <w:color w:val="auto"/>
          <w:spacing w:val="-6"/>
          <w:sz w:val="21"/>
          <w:szCs w:val="21"/>
          <w:highlight w:val="none"/>
          <w:u w:val="single"/>
        </w:rPr>
        <w:t>。</w:t>
      </w:r>
    </w:p>
    <w:p w14:paraId="0D0090DF">
      <w:pPr>
        <w:keepNext w:val="0"/>
        <w:keepLines w:val="0"/>
        <w:pageBreakBefore w:val="0"/>
        <w:widowControl w:val="0"/>
        <w:tabs>
          <w:tab w:val="left" w:pos="2564"/>
        </w:tabs>
        <w:kinsoku w:val="0"/>
        <w:wordWrap/>
        <w:overflowPunct w:val="0"/>
        <w:topLinePunct w:val="0"/>
        <w:autoSpaceDE w:val="0"/>
        <w:autoSpaceDN w:val="0"/>
        <w:bidi w:val="0"/>
        <w:adjustRightInd w:val="0"/>
        <w:snapToGrid w:val="0"/>
        <w:spacing w:line="360" w:lineRule="auto"/>
        <w:ind w:left="0" w:firstLine="420" w:firstLineChars="200"/>
        <w:jc w:val="both"/>
        <w:textAlignment w:val="baseline"/>
        <w:rPr>
          <w:rFonts w:hint="eastAsia" w:ascii="仿宋" w:hAnsi="仿宋" w:eastAsia="仿宋" w:cs="仿宋"/>
          <w:snapToGrid w:val="0"/>
          <w:color w:val="auto"/>
          <w:kern w:val="2"/>
          <w:sz w:val="21"/>
          <w:szCs w:val="21"/>
          <w:highlight w:val="none"/>
          <w:lang w:val="en-US" w:eastAsia="en-US" w:bidi="ar-SA"/>
        </w:rPr>
      </w:pP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pacing w:val="-3"/>
          <w:sz w:val="21"/>
          <w:szCs w:val="21"/>
          <w:highlight w:val="none"/>
        </w:rPr>
        <w:t>支付方式：</w:t>
      </w:r>
      <w:r>
        <w:rPr>
          <w:rFonts w:hint="eastAsia" w:ascii="仿宋" w:hAnsi="仿宋" w:eastAsia="仿宋" w:cs="仿宋"/>
          <w:snapToGrid w:val="0"/>
          <w:color w:val="auto"/>
          <w:kern w:val="2"/>
          <w:sz w:val="21"/>
          <w:szCs w:val="21"/>
          <w:highlight w:val="none"/>
          <w:lang w:val="en-US" w:eastAsia="en-US" w:bidi="ar-SA"/>
        </w:rPr>
        <w:t>1、服务费按月支付，每月5日核算上一个月份每餐用餐人数，核算完毕后以转账形式，在供应商开具发票后10个工作日内进行结算。费用以售饭系统统计的就餐人数为准，</w:t>
      </w:r>
      <w:r>
        <w:rPr>
          <w:rFonts w:hint="eastAsia" w:ascii="仿宋" w:hAnsi="仿宋" w:eastAsia="仿宋" w:cs="仿宋"/>
          <w:snapToGrid w:val="0"/>
          <w:color w:val="auto"/>
          <w:kern w:val="2"/>
          <w:sz w:val="21"/>
          <w:szCs w:val="21"/>
          <w:highlight w:val="none"/>
          <w:lang w:val="en-US" w:eastAsia="zh-CN" w:bidi="ar-SA"/>
        </w:rPr>
        <w:t>按</w:t>
      </w:r>
      <w:r>
        <w:rPr>
          <w:rFonts w:hint="eastAsia" w:ascii="仿宋" w:hAnsi="仿宋" w:eastAsia="仿宋" w:cs="仿宋"/>
          <w:snapToGrid w:val="0"/>
          <w:color w:val="auto"/>
          <w:kern w:val="2"/>
          <w:sz w:val="21"/>
          <w:szCs w:val="21"/>
          <w:highlight w:val="none"/>
          <w:lang w:val="en-US" w:eastAsia="en-US" w:bidi="ar-SA"/>
        </w:rPr>
        <w:t>早餐7元/人、午餐19元/人、晚餐2元/人</w:t>
      </w:r>
      <w:r>
        <w:rPr>
          <w:rFonts w:hint="eastAsia" w:ascii="仿宋" w:hAnsi="仿宋" w:eastAsia="仿宋" w:cs="仿宋"/>
          <w:snapToGrid w:val="0"/>
          <w:color w:val="auto"/>
          <w:kern w:val="2"/>
          <w:sz w:val="21"/>
          <w:szCs w:val="21"/>
          <w:highlight w:val="none"/>
          <w:lang w:val="en-US" w:eastAsia="zh-CN" w:bidi="ar-SA"/>
        </w:rPr>
        <w:t>的标</w:t>
      </w:r>
      <w:r>
        <w:rPr>
          <w:rFonts w:hint="eastAsia" w:ascii="仿宋" w:hAnsi="仿宋" w:eastAsia="仿宋" w:cs="仿宋"/>
          <w:snapToGrid w:val="0"/>
          <w:color w:val="auto"/>
          <w:kern w:val="2"/>
          <w:sz w:val="21"/>
          <w:szCs w:val="21"/>
          <w:highlight w:val="none"/>
          <w:lang w:val="en-US" w:eastAsia="en-US" w:bidi="ar-SA"/>
        </w:rPr>
        <w:t>准按餐据实结算。</w:t>
      </w:r>
    </w:p>
    <w:p w14:paraId="421F3999">
      <w:pPr>
        <w:pStyle w:val="2"/>
        <w:tabs>
          <w:tab w:val="left" w:pos="567"/>
        </w:tabs>
        <w:rPr>
          <w:rFonts w:hint="eastAsia" w:ascii="仿宋" w:hAnsi="仿宋" w:eastAsia="仿宋" w:cs="仿宋"/>
          <w:snapToGrid w:val="0"/>
          <w:color w:val="auto"/>
          <w:kern w:val="2"/>
          <w:sz w:val="21"/>
          <w:szCs w:val="21"/>
          <w:highlight w:val="none"/>
          <w:lang w:val="en-US" w:eastAsia="zh-CN" w:bidi="ar-SA"/>
        </w:rPr>
      </w:pPr>
      <w:r>
        <w:rPr>
          <w:rFonts w:hint="eastAsia" w:ascii="仿宋" w:hAnsi="仿宋" w:eastAsia="仿宋" w:cs="仿宋"/>
          <w:snapToGrid w:val="0"/>
          <w:color w:val="auto"/>
          <w:kern w:val="2"/>
          <w:sz w:val="21"/>
          <w:szCs w:val="21"/>
          <w:highlight w:val="none"/>
          <w:lang w:val="en-US" w:eastAsia="zh-CN" w:bidi="ar-SA"/>
        </w:rPr>
        <w:t>（注：1、付款结算分两部分，财政补贴部分最终结算价不超过4300800.00元，个人承担部分结算总价不超过：716800.00元。</w:t>
      </w:r>
    </w:p>
    <w:p w14:paraId="158F5F8C">
      <w:pPr>
        <w:pStyle w:val="2"/>
        <w:numPr>
          <w:ilvl w:val="0"/>
          <w:numId w:val="1"/>
        </w:numPr>
        <w:tabs>
          <w:tab w:val="left" w:pos="567"/>
        </w:tabs>
        <w:rPr>
          <w:rFonts w:hint="eastAsia" w:ascii="仿宋" w:hAnsi="仿宋" w:eastAsia="仿宋" w:cs="仿宋"/>
          <w:snapToGrid w:val="0"/>
          <w:color w:val="auto"/>
          <w:kern w:val="2"/>
          <w:sz w:val="21"/>
          <w:szCs w:val="21"/>
          <w:highlight w:val="none"/>
          <w:lang w:val="en-US" w:eastAsia="zh-CN" w:bidi="ar-SA"/>
        </w:rPr>
      </w:pPr>
      <w:r>
        <w:rPr>
          <w:rFonts w:hint="eastAsia" w:ascii="仿宋" w:hAnsi="仿宋" w:eastAsia="仿宋" w:cs="仿宋"/>
          <w:snapToGrid w:val="0"/>
          <w:color w:val="auto"/>
          <w:kern w:val="2"/>
          <w:sz w:val="21"/>
          <w:szCs w:val="21"/>
          <w:highlight w:val="none"/>
          <w:lang w:val="en-US" w:eastAsia="zh-CN" w:bidi="ar-SA"/>
        </w:rPr>
        <w:t>财政补贴餐标标准： A类：早餐6元/人/次；午餐17元/人/次；晚餐1元/人/次；</w:t>
      </w:r>
    </w:p>
    <w:p w14:paraId="5545D2FA">
      <w:pPr>
        <w:pStyle w:val="2"/>
        <w:numPr>
          <w:ilvl w:val="0"/>
          <w:numId w:val="0"/>
        </w:numPr>
        <w:tabs>
          <w:tab w:val="left" w:pos="567"/>
        </w:tabs>
        <w:ind w:firstLine="2310" w:firstLineChars="1100"/>
        <w:rPr>
          <w:rFonts w:hint="eastAsia" w:ascii="仿宋" w:hAnsi="仿宋" w:eastAsia="仿宋" w:cs="仿宋"/>
          <w:snapToGrid w:val="0"/>
          <w:color w:val="auto"/>
          <w:kern w:val="2"/>
          <w:sz w:val="21"/>
          <w:szCs w:val="21"/>
          <w:highlight w:val="none"/>
          <w:lang w:val="en-US" w:eastAsia="zh-CN" w:bidi="ar-SA"/>
        </w:rPr>
      </w:pPr>
      <w:r>
        <w:rPr>
          <w:rFonts w:hint="eastAsia" w:ascii="仿宋" w:hAnsi="仿宋" w:eastAsia="仿宋" w:cs="仿宋"/>
          <w:snapToGrid w:val="0"/>
          <w:color w:val="auto"/>
          <w:kern w:val="2"/>
          <w:sz w:val="21"/>
          <w:szCs w:val="21"/>
          <w:highlight w:val="none"/>
          <w:lang w:val="en-US" w:eastAsia="zh-CN" w:bidi="ar-SA"/>
        </w:rPr>
        <w:t>B类：早餐4元/人/次；午餐13元/人/次；晚餐0.35元/人/次。</w:t>
      </w:r>
    </w:p>
    <w:p w14:paraId="17571E62">
      <w:pPr>
        <w:pStyle w:val="2"/>
        <w:numPr>
          <w:ilvl w:val="0"/>
          <w:numId w:val="1"/>
        </w:numPr>
        <w:tabs>
          <w:tab w:val="left" w:pos="567"/>
        </w:tabs>
        <w:rPr>
          <w:rFonts w:hint="eastAsia" w:ascii="仿宋" w:hAnsi="仿宋" w:eastAsia="仿宋" w:cs="仿宋"/>
          <w:snapToGrid w:val="0"/>
          <w:color w:val="auto"/>
          <w:kern w:val="2"/>
          <w:sz w:val="21"/>
          <w:szCs w:val="21"/>
          <w:highlight w:val="none"/>
          <w:lang w:val="en-US" w:eastAsia="zh-CN" w:bidi="ar-SA"/>
        </w:rPr>
      </w:pPr>
      <w:r>
        <w:rPr>
          <w:rFonts w:hint="eastAsia" w:ascii="仿宋" w:hAnsi="仿宋" w:eastAsia="仿宋" w:cs="仿宋"/>
          <w:snapToGrid w:val="0"/>
          <w:color w:val="auto"/>
          <w:kern w:val="2"/>
          <w:sz w:val="21"/>
          <w:szCs w:val="21"/>
          <w:highlight w:val="none"/>
          <w:lang w:val="en-US" w:eastAsia="zh-CN" w:bidi="ar-SA"/>
        </w:rPr>
        <w:t>个人承担部分：A类：早餐1元/人/次；午餐2元/人/次；晚餐1元/人/次；</w:t>
      </w:r>
    </w:p>
    <w:p w14:paraId="2052215C">
      <w:pPr>
        <w:pStyle w:val="2"/>
        <w:numPr>
          <w:ilvl w:val="0"/>
          <w:numId w:val="0"/>
        </w:numPr>
        <w:tabs>
          <w:tab w:val="left" w:pos="567"/>
        </w:tabs>
        <w:ind w:firstLine="2310" w:firstLineChars="1100"/>
        <w:rPr>
          <w:rFonts w:hint="eastAsia"/>
          <w:highlight w:val="none"/>
          <w:lang w:val="en-US" w:eastAsia="en-US"/>
        </w:rPr>
      </w:pPr>
      <w:r>
        <w:rPr>
          <w:rFonts w:hint="eastAsia" w:ascii="仿宋" w:hAnsi="仿宋" w:eastAsia="仿宋" w:cs="仿宋"/>
          <w:snapToGrid w:val="0"/>
          <w:color w:val="auto"/>
          <w:kern w:val="2"/>
          <w:sz w:val="21"/>
          <w:szCs w:val="21"/>
          <w:highlight w:val="none"/>
          <w:lang w:val="en-US" w:eastAsia="zh-CN" w:bidi="ar-SA"/>
        </w:rPr>
        <w:t>B类：早餐3元/人/次；午餐6元/人/次；晚餐1.65元/人/次。</w:t>
      </w:r>
    </w:p>
    <w:p w14:paraId="0F0BA5EC">
      <w:pPr>
        <w:pStyle w:val="2"/>
        <w:keepNext w:val="0"/>
        <w:keepLines w:val="0"/>
        <w:pageBreakBefore w:val="0"/>
        <w:widowControl w:val="0"/>
        <w:tabs>
          <w:tab w:val="left" w:pos="567"/>
        </w:tabs>
        <w:kinsoku w:val="0"/>
        <w:wordWrap/>
        <w:overflowPunct w:val="0"/>
        <w:topLinePunct w:val="0"/>
        <w:autoSpaceDE w:val="0"/>
        <w:autoSpaceDN w:val="0"/>
        <w:bidi w:val="0"/>
        <w:adjustRightInd w:val="0"/>
        <w:snapToGrid w:val="0"/>
        <w:spacing w:line="360" w:lineRule="auto"/>
        <w:ind w:left="0" w:leftChars="0" w:firstLine="420" w:firstLineChars="20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pacing w:val="-3"/>
          <w:sz w:val="21"/>
          <w:szCs w:val="21"/>
          <w:highlight w:val="none"/>
        </w:rPr>
        <w:t>甲</w:t>
      </w:r>
      <w:r>
        <w:rPr>
          <w:rFonts w:hint="eastAsia" w:ascii="仿宋" w:hAnsi="仿宋" w:eastAsia="仿宋" w:cs="仿宋"/>
          <w:color w:val="auto"/>
          <w:sz w:val="21"/>
          <w:szCs w:val="21"/>
          <w:highlight w:val="none"/>
        </w:rPr>
        <w:t>方每</w:t>
      </w:r>
      <w:r>
        <w:rPr>
          <w:rFonts w:hint="eastAsia" w:ascii="仿宋" w:hAnsi="仿宋" w:eastAsia="仿宋" w:cs="仿宋"/>
          <w:color w:val="auto"/>
          <w:spacing w:val="-3"/>
          <w:sz w:val="21"/>
          <w:szCs w:val="21"/>
          <w:highlight w:val="none"/>
        </w:rPr>
        <w:t>次</w:t>
      </w:r>
      <w:r>
        <w:rPr>
          <w:rFonts w:hint="eastAsia" w:ascii="仿宋" w:hAnsi="仿宋" w:eastAsia="仿宋" w:cs="仿宋"/>
          <w:color w:val="auto"/>
          <w:sz w:val="21"/>
          <w:szCs w:val="21"/>
          <w:highlight w:val="none"/>
        </w:rPr>
        <w:t>付款</w:t>
      </w:r>
      <w:r>
        <w:rPr>
          <w:rFonts w:hint="eastAsia" w:ascii="仿宋" w:hAnsi="仿宋" w:eastAsia="仿宋" w:cs="仿宋"/>
          <w:color w:val="auto"/>
          <w:spacing w:val="-3"/>
          <w:sz w:val="21"/>
          <w:szCs w:val="21"/>
          <w:highlight w:val="none"/>
        </w:rPr>
        <w:t>前</w:t>
      </w:r>
      <w:r>
        <w:rPr>
          <w:rFonts w:hint="eastAsia" w:ascii="仿宋" w:hAnsi="仿宋" w:eastAsia="仿宋" w:cs="仿宋"/>
          <w:color w:val="auto"/>
          <w:sz w:val="21"/>
          <w:szCs w:val="21"/>
          <w:highlight w:val="none"/>
        </w:rPr>
        <w:t>，乙</w:t>
      </w:r>
      <w:r>
        <w:rPr>
          <w:rFonts w:hint="eastAsia" w:ascii="仿宋" w:hAnsi="仿宋" w:eastAsia="仿宋" w:cs="仿宋"/>
          <w:color w:val="auto"/>
          <w:spacing w:val="-3"/>
          <w:sz w:val="21"/>
          <w:szCs w:val="21"/>
          <w:highlight w:val="none"/>
        </w:rPr>
        <w:t>方</w:t>
      </w:r>
      <w:r>
        <w:rPr>
          <w:rFonts w:hint="eastAsia" w:ascii="仿宋" w:hAnsi="仿宋" w:eastAsia="仿宋" w:cs="仿宋"/>
          <w:color w:val="auto"/>
          <w:sz w:val="21"/>
          <w:szCs w:val="21"/>
          <w:highlight w:val="none"/>
        </w:rPr>
        <w:t>应提</w:t>
      </w:r>
      <w:r>
        <w:rPr>
          <w:rFonts w:hint="eastAsia" w:ascii="仿宋" w:hAnsi="仿宋" w:eastAsia="仿宋" w:cs="仿宋"/>
          <w:color w:val="auto"/>
          <w:spacing w:val="-3"/>
          <w:sz w:val="21"/>
          <w:szCs w:val="21"/>
          <w:highlight w:val="none"/>
        </w:rPr>
        <w:t>供</w:t>
      </w:r>
      <w:r>
        <w:rPr>
          <w:rFonts w:hint="eastAsia" w:ascii="仿宋" w:hAnsi="仿宋" w:eastAsia="仿宋" w:cs="仿宋"/>
          <w:color w:val="auto"/>
          <w:spacing w:val="-3"/>
          <w:sz w:val="21"/>
          <w:szCs w:val="21"/>
          <w:highlight w:val="none"/>
          <w:lang w:val="en-US" w:eastAsia="zh-CN"/>
        </w:rPr>
        <w:t>符合国家规定的</w:t>
      </w:r>
      <w:r>
        <w:rPr>
          <w:rFonts w:hint="eastAsia" w:ascii="仿宋" w:hAnsi="仿宋" w:eastAsia="仿宋" w:cs="仿宋"/>
          <w:color w:val="auto"/>
          <w:sz w:val="21"/>
          <w:szCs w:val="21"/>
          <w:highlight w:val="none"/>
          <w:lang w:val="en-US" w:eastAsia="zh-CN"/>
        </w:rPr>
        <w:t>增值税普通发票</w:t>
      </w:r>
      <w:r>
        <w:rPr>
          <w:rFonts w:hint="eastAsia" w:ascii="仿宋" w:hAnsi="仿宋" w:eastAsia="仿宋" w:cs="仿宋"/>
          <w:color w:val="auto"/>
          <w:spacing w:val="-3"/>
          <w:sz w:val="21"/>
          <w:szCs w:val="21"/>
          <w:highlight w:val="none"/>
        </w:rPr>
        <w:t>，</w:t>
      </w:r>
      <w:r>
        <w:rPr>
          <w:rFonts w:hint="eastAsia" w:ascii="仿宋" w:hAnsi="仿宋" w:eastAsia="仿宋" w:cs="仿宋"/>
          <w:color w:val="auto"/>
          <w:sz w:val="21"/>
          <w:szCs w:val="21"/>
          <w:highlight w:val="none"/>
        </w:rPr>
        <w:t>否则</w:t>
      </w:r>
      <w:r>
        <w:rPr>
          <w:rFonts w:hint="eastAsia" w:ascii="仿宋" w:hAnsi="仿宋" w:eastAsia="仿宋" w:cs="仿宋"/>
          <w:color w:val="auto"/>
          <w:spacing w:val="-3"/>
          <w:sz w:val="21"/>
          <w:szCs w:val="21"/>
          <w:highlight w:val="none"/>
        </w:rPr>
        <w:t>甲</w:t>
      </w:r>
      <w:r>
        <w:rPr>
          <w:rFonts w:hint="eastAsia" w:ascii="仿宋" w:hAnsi="仿宋" w:eastAsia="仿宋" w:cs="仿宋"/>
          <w:color w:val="auto"/>
          <w:sz w:val="21"/>
          <w:szCs w:val="21"/>
          <w:highlight w:val="none"/>
        </w:rPr>
        <w:t>方有</w:t>
      </w:r>
      <w:r>
        <w:rPr>
          <w:rFonts w:hint="eastAsia" w:ascii="仿宋" w:hAnsi="仿宋" w:eastAsia="仿宋" w:cs="仿宋"/>
          <w:color w:val="auto"/>
          <w:spacing w:val="-3"/>
          <w:sz w:val="21"/>
          <w:szCs w:val="21"/>
          <w:highlight w:val="none"/>
        </w:rPr>
        <w:t>权</w:t>
      </w:r>
      <w:r>
        <w:rPr>
          <w:rFonts w:hint="eastAsia" w:ascii="仿宋" w:hAnsi="仿宋" w:eastAsia="仿宋" w:cs="仿宋"/>
          <w:color w:val="auto"/>
          <w:sz w:val="21"/>
          <w:szCs w:val="21"/>
          <w:highlight w:val="none"/>
        </w:rPr>
        <w:t>顺延</w:t>
      </w:r>
      <w:r>
        <w:rPr>
          <w:rFonts w:hint="eastAsia" w:ascii="仿宋" w:hAnsi="仿宋" w:eastAsia="仿宋" w:cs="仿宋"/>
          <w:color w:val="auto"/>
          <w:spacing w:val="-3"/>
          <w:sz w:val="21"/>
          <w:szCs w:val="21"/>
          <w:highlight w:val="none"/>
        </w:rPr>
        <w:t>付</w:t>
      </w:r>
      <w:r>
        <w:rPr>
          <w:rFonts w:hint="eastAsia" w:ascii="仿宋" w:hAnsi="仿宋" w:eastAsia="仿宋" w:cs="仿宋"/>
          <w:color w:val="auto"/>
          <w:sz w:val="21"/>
          <w:szCs w:val="21"/>
          <w:highlight w:val="none"/>
        </w:rPr>
        <w:t>款期</w:t>
      </w:r>
      <w:r>
        <w:rPr>
          <w:rFonts w:hint="eastAsia" w:ascii="仿宋" w:hAnsi="仿宋" w:eastAsia="仿宋" w:cs="仿宋"/>
          <w:color w:val="auto"/>
          <w:spacing w:val="-3"/>
          <w:sz w:val="21"/>
          <w:szCs w:val="21"/>
          <w:highlight w:val="none"/>
        </w:rPr>
        <w:t>限</w:t>
      </w:r>
      <w:r>
        <w:rPr>
          <w:rFonts w:hint="eastAsia" w:ascii="仿宋" w:hAnsi="仿宋" w:eastAsia="仿宋" w:cs="仿宋"/>
          <w:color w:val="auto"/>
          <w:sz w:val="21"/>
          <w:szCs w:val="21"/>
          <w:highlight w:val="none"/>
        </w:rPr>
        <w:t>，并</w:t>
      </w:r>
      <w:r>
        <w:rPr>
          <w:rFonts w:hint="eastAsia" w:ascii="仿宋" w:hAnsi="仿宋" w:eastAsia="仿宋" w:cs="仿宋"/>
          <w:color w:val="auto"/>
          <w:spacing w:val="-3"/>
          <w:sz w:val="21"/>
          <w:szCs w:val="21"/>
          <w:highlight w:val="none"/>
        </w:rPr>
        <w:t>不</w:t>
      </w:r>
      <w:r>
        <w:rPr>
          <w:rFonts w:hint="eastAsia" w:ascii="仿宋" w:hAnsi="仿宋" w:eastAsia="仿宋" w:cs="仿宋"/>
          <w:color w:val="auto"/>
          <w:sz w:val="21"/>
          <w:szCs w:val="21"/>
          <w:highlight w:val="none"/>
        </w:rPr>
        <w:t>视为</w:t>
      </w:r>
      <w:r>
        <w:rPr>
          <w:rFonts w:hint="eastAsia" w:ascii="仿宋" w:hAnsi="仿宋" w:eastAsia="仿宋" w:cs="仿宋"/>
          <w:color w:val="auto"/>
          <w:spacing w:val="-3"/>
          <w:sz w:val="21"/>
          <w:szCs w:val="21"/>
          <w:highlight w:val="none"/>
        </w:rPr>
        <w:t>违</w:t>
      </w:r>
      <w:r>
        <w:rPr>
          <w:rFonts w:hint="eastAsia" w:ascii="仿宋" w:hAnsi="仿宋" w:eastAsia="仿宋" w:cs="仿宋"/>
          <w:color w:val="auto"/>
          <w:sz w:val="21"/>
          <w:szCs w:val="21"/>
          <w:highlight w:val="none"/>
        </w:rPr>
        <w:t>约。</w:t>
      </w:r>
    </w:p>
    <w:p w14:paraId="46E44216">
      <w:pPr>
        <w:pStyle w:val="2"/>
        <w:keepNext w:val="0"/>
        <w:keepLines w:val="0"/>
        <w:pageBreakBefore w:val="0"/>
        <w:widowControl w:val="0"/>
        <w:tabs>
          <w:tab w:val="left" w:pos="567"/>
        </w:tabs>
        <w:kinsoku w:val="0"/>
        <w:wordWrap/>
        <w:overflowPunct w:val="0"/>
        <w:topLinePunct w:val="0"/>
        <w:autoSpaceDE w:val="0"/>
        <w:autoSpaceDN w:val="0"/>
        <w:bidi w:val="0"/>
        <w:adjustRightInd w:val="0"/>
        <w:snapToGrid w:val="0"/>
        <w:spacing w:line="360" w:lineRule="auto"/>
        <w:ind w:left="0" w:leftChars="0" w:firstLine="408" w:firstLineChars="200"/>
        <w:jc w:val="both"/>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lang w:val="en-US" w:eastAsia="zh-CN"/>
        </w:rPr>
        <w:t>4</w:t>
      </w:r>
      <w:r>
        <w:rPr>
          <w:rFonts w:hint="eastAsia" w:ascii="仿宋" w:hAnsi="仿宋" w:eastAsia="仿宋" w:cs="仿宋"/>
          <w:color w:val="auto"/>
          <w:spacing w:val="-3"/>
          <w:sz w:val="21"/>
          <w:szCs w:val="21"/>
          <w:highlight w:val="none"/>
        </w:rPr>
        <w:t>.结算方式：银行转账。</w:t>
      </w:r>
    </w:p>
    <w:p w14:paraId="6C2F3396">
      <w:pPr>
        <w:pStyle w:val="2"/>
        <w:keepNext w:val="0"/>
        <w:keepLines w:val="0"/>
        <w:pageBreakBefore w:val="0"/>
        <w:widowControl w:val="0"/>
        <w:tabs>
          <w:tab w:val="left" w:pos="567"/>
        </w:tabs>
        <w:kinsoku w:val="0"/>
        <w:wordWrap/>
        <w:overflowPunct w:val="0"/>
        <w:topLinePunct w:val="0"/>
        <w:autoSpaceDE w:val="0"/>
        <w:autoSpaceDN w:val="0"/>
        <w:bidi w:val="0"/>
        <w:adjustRightInd w:val="0"/>
        <w:snapToGrid w:val="0"/>
        <w:spacing w:line="360" w:lineRule="auto"/>
        <w:ind w:left="0" w:leftChars="0" w:firstLine="372" w:firstLineChars="20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12"/>
          <w:sz w:val="21"/>
          <w:szCs w:val="21"/>
          <w:highlight w:val="none"/>
          <w:lang w:val="en-US" w:eastAsia="zh-CN"/>
        </w:rPr>
        <w:t>5</w:t>
      </w:r>
      <w:r>
        <w:rPr>
          <w:rFonts w:hint="eastAsia" w:ascii="仿宋" w:hAnsi="仿宋" w:eastAsia="仿宋" w:cs="仿宋"/>
          <w:color w:val="auto"/>
          <w:spacing w:val="-12"/>
          <w:sz w:val="21"/>
          <w:szCs w:val="21"/>
          <w:highlight w:val="none"/>
        </w:rPr>
        <w:t>.结</w:t>
      </w:r>
      <w:r>
        <w:rPr>
          <w:rFonts w:hint="eastAsia" w:ascii="仿宋" w:hAnsi="仿宋" w:eastAsia="仿宋" w:cs="仿宋"/>
          <w:snapToGrid w:val="0"/>
          <w:color w:val="auto"/>
          <w:kern w:val="2"/>
          <w:sz w:val="21"/>
          <w:szCs w:val="21"/>
          <w:highlight w:val="none"/>
          <w:lang w:val="en-US" w:eastAsia="en-US" w:bidi="ar-SA"/>
        </w:rPr>
        <w:t>算单位：由甲方负责结算，乙方须向甲方出具合法有效的完税发票，甲方进行支付结算。</w:t>
      </w:r>
    </w:p>
    <w:p w14:paraId="5A474D44">
      <w:pPr>
        <w:pStyle w:val="16"/>
        <w:keepNext w:val="0"/>
        <w:keepLines w:val="0"/>
        <w:pageBreakBefore w:val="0"/>
        <w:wordWrap/>
        <w:overflowPunct w:val="0"/>
        <w:topLinePunct w:val="0"/>
        <w:bidi w:val="0"/>
        <w:snapToGrid w:val="0"/>
        <w:spacing w:line="360" w:lineRule="auto"/>
        <w:ind w:left="0" w:leftChars="0" w:firstLine="422" w:firstLineChars="200"/>
        <w:jc w:val="both"/>
        <w:rPr>
          <w:rFonts w:hint="eastAsia" w:ascii="仿宋" w:hAnsi="仿宋" w:eastAsia="仿宋" w:cs="仿宋"/>
          <w:b/>
          <w:color w:val="auto"/>
          <w:sz w:val="21"/>
          <w:szCs w:val="21"/>
          <w:highlight w:val="none"/>
        </w:rPr>
      </w:pPr>
      <w:bookmarkStart w:id="4" w:name="第五条__验收标准及条件"/>
      <w:bookmarkEnd w:id="4"/>
      <w:r>
        <w:rPr>
          <w:rFonts w:hint="eastAsia" w:ascii="仿宋" w:hAnsi="仿宋" w:eastAsia="仿宋" w:cs="仿宋"/>
          <w:b/>
          <w:color w:val="auto"/>
          <w:sz w:val="21"/>
          <w:szCs w:val="21"/>
          <w:highlight w:val="none"/>
        </w:rPr>
        <w:t>第五条</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验收标准及条件</w:t>
      </w:r>
    </w:p>
    <w:p w14:paraId="0A39215E">
      <w:pPr>
        <w:pStyle w:val="16"/>
        <w:keepNext w:val="0"/>
        <w:keepLines w:val="0"/>
        <w:pageBreakBefore w:val="0"/>
        <w:wordWrap/>
        <w:overflowPunct w:val="0"/>
        <w:topLinePunct w:val="0"/>
        <w:bidi w:val="0"/>
        <w:snapToGrid w:val="0"/>
        <w:spacing w:line="360" w:lineRule="auto"/>
        <w:ind w:left="0" w:leftChars="0"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pacing w:val="-3"/>
          <w:sz w:val="21"/>
          <w:szCs w:val="21"/>
          <w:highlight w:val="none"/>
        </w:rPr>
        <w:t>初</w:t>
      </w:r>
      <w:r>
        <w:rPr>
          <w:rFonts w:hint="eastAsia" w:ascii="仿宋" w:hAnsi="仿宋" w:eastAsia="仿宋" w:cs="仿宋"/>
          <w:color w:val="auto"/>
          <w:sz w:val="21"/>
          <w:szCs w:val="21"/>
          <w:highlight w:val="none"/>
        </w:rPr>
        <w:t>步验</w:t>
      </w:r>
      <w:r>
        <w:rPr>
          <w:rFonts w:hint="eastAsia" w:ascii="仿宋" w:hAnsi="仿宋" w:eastAsia="仿宋" w:cs="仿宋"/>
          <w:color w:val="auto"/>
          <w:spacing w:val="-3"/>
          <w:sz w:val="21"/>
          <w:szCs w:val="21"/>
          <w:highlight w:val="none"/>
        </w:rPr>
        <w:t>收</w:t>
      </w:r>
      <w:r>
        <w:rPr>
          <w:rFonts w:hint="eastAsia" w:ascii="仿宋" w:hAnsi="仿宋" w:eastAsia="仿宋" w:cs="仿宋"/>
          <w:color w:val="auto"/>
          <w:sz w:val="21"/>
          <w:szCs w:val="21"/>
          <w:highlight w:val="none"/>
        </w:rPr>
        <w:t>：</w:t>
      </w:r>
    </w:p>
    <w:p w14:paraId="62517F68">
      <w:pPr>
        <w:pStyle w:val="17"/>
        <w:keepNext w:val="0"/>
        <w:keepLines w:val="0"/>
        <w:pageBreakBefore w:val="0"/>
        <w:widowControl w:val="0"/>
        <w:tabs>
          <w:tab w:val="left" w:pos="1863"/>
        </w:tabs>
        <w:kinsoku w:val="0"/>
        <w:wordWrap/>
        <w:overflowPunct w:val="0"/>
        <w:topLinePunct w:val="0"/>
        <w:autoSpaceDE w:val="0"/>
        <w:autoSpaceDN w:val="0"/>
        <w:bidi w:val="0"/>
        <w:adjustRightInd w:val="0"/>
        <w:snapToGrid w:val="0"/>
        <w:spacing w:line="360" w:lineRule="auto"/>
        <w:ind w:left="0" w:leftChars="0" w:firstLine="408" w:firstLineChars="200"/>
        <w:jc w:val="left"/>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3"/>
          <w:sz w:val="21"/>
          <w:szCs w:val="21"/>
          <w:highlight w:val="none"/>
        </w:rPr>
        <w:t>2.最终验收：</w:t>
      </w:r>
    </w:p>
    <w:p w14:paraId="7E8C5818">
      <w:pPr>
        <w:pStyle w:val="17"/>
        <w:keepNext w:val="0"/>
        <w:keepLines w:val="0"/>
        <w:pageBreakBefore w:val="0"/>
        <w:widowControl w:val="0"/>
        <w:tabs>
          <w:tab w:val="left" w:pos="1863"/>
        </w:tabs>
        <w:kinsoku w:val="0"/>
        <w:wordWrap/>
        <w:overflowPunct w:val="0"/>
        <w:topLinePunct w:val="0"/>
        <w:autoSpaceDE w:val="0"/>
        <w:autoSpaceDN w:val="0"/>
        <w:bidi w:val="0"/>
        <w:adjustRightInd w:val="0"/>
        <w:snapToGrid w:val="0"/>
        <w:spacing w:line="360" w:lineRule="auto"/>
        <w:ind w:left="0" w:leftChars="0" w:firstLine="408" w:firstLineChars="200"/>
        <w:jc w:val="left"/>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3"/>
          <w:sz w:val="21"/>
          <w:szCs w:val="21"/>
          <w:highlight w:val="none"/>
        </w:rPr>
        <w:t>3.验收依据：</w:t>
      </w:r>
    </w:p>
    <w:p w14:paraId="561F8406">
      <w:pPr>
        <w:pStyle w:val="17"/>
        <w:keepNext w:val="0"/>
        <w:keepLines w:val="0"/>
        <w:pageBreakBefore w:val="0"/>
        <w:widowControl w:val="0"/>
        <w:tabs>
          <w:tab w:val="left" w:pos="2142"/>
        </w:tabs>
        <w:kinsoku w:val="0"/>
        <w:wordWrap/>
        <w:overflowPunct w:val="0"/>
        <w:topLinePunct w:val="0"/>
        <w:autoSpaceDE w:val="0"/>
        <w:autoSpaceDN w:val="0"/>
        <w:bidi w:val="0"/>
        <w:adjustRightInd w:val="0"/>
        <w:snapToGrid w:val="0"/>
        <w:spacing w:line="360" w:lineRule="auto"/>
        <w:ind w:firstLine="408" w:firstLineChars="20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3"/>
          <w:sz w:val="21"/>
          <w:szCs w:val="21"/>
          <w:highlight w:val="none"/>
        </w:rPr>
        <w:t>（1）招标文件、投标文件、澄清表</w:t>
      </w:r>
      <w:r>
        <w:rPr>
          <w:rFonts w:hint="eastAsia" w:ascii="仿宋" w:hAnsi="仿宋" w:eastAsia="仿宋" w:cs="仿宋"/>
          <w:color w:val="auto"/>
          <w:sz w:val="21"/>
          <w:szCs w:val="21"/>
          <w:highlight w:val="none"/>
        </w:rPr>
        <w:t>（函）；</w:t>
      </w:r>
    </w:p>
    <w:p w14:paraId="46A3047A">
      <w:pPr>
        <w:pStyle w:val="17"/>
        <w:keepNext w:val="0"/>
        <w:keepLines w:val="0"/>
        <w:pageBreakBefore w:val="0"/>
        <w:widowControl w:val="0"/>
        <w:tabs>
          <w:tab w:val="left" w:pos="2142"/>
        </w:tabs>
        <w:kinsoku w:val="0"/>
        <w:wordWrap/>
        <w:overflowPunct w:val="0"/>
        <w:topLinePunct w:val="0"/>
        <w:autoSpaceDE w:val="0"/>
        <w:autoSpaceDN w:val="0"/>
        <w:bidi w:val="0"/>
        <w:adjustRightInd w:val="0"/>
        <w:snapToGrid w:val="0"/>
        <w:spacing w:line="360" w:lineRule="auto"/>
        <w:ind w:firstLine="408" w:firstLineChars="200"/>
        <w:jc w:val="both"/>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rPr>
        <w:t>（2）本合同及附件文本；</w:t>
      </w:r>
    </w:p>
    <w:p w14:paraId="305D278E">
      <w:pPr>
        <w:pStyle w:val="17"/>
        <w:keepNext w:val="0"/>
        <w:keepLines w:val="0"/>
        <w:pageBreakBefore w:val="0"/>
        <w:widowControl w:val="0"/>
        <w:tabs>
          <w:tab w:val="left" w:pos="2142"/>
        </w:tabs>
        <w:kinsoku w:val="0"/>
        <w:wordWrap/>
        <w:overflowPunct w:val="0"/>
        <w:topLinePunct w:val="0"/>
        <w:autoSpaceDE w:val="0"/>
        <w:autoSpaceDN w:val="0"/>
        <w:bidi w:val="0"/>
        <w:adjustRightInd w:val="0"/>
        <w:snapToGrid w:val="0"/>
        <w:spacing w:line="360" w:lineRule="auto"/>
        <w:ind w:firstLine="408" w:firstLineChars="20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3"/>
          <w:sz w:val="21"/>
          <w:szCs w:val="21"/>
          <w:highlight w:val="none"/>
        </w:rPr>
        <w:t>（3）合同签订时国家及行业现行的标准和技术规范。</w:t>
      </w:r>
    </w:p>
    <w:p w14:paraId="7165AE06">
      <w:pPr>
        <w:pStyle w:val="17"/>
        <w:keepNext w:val="0"/>
        <w:keepLines w:val="0"/>
        <w:pageBreakBefore w:val="0"/>
        <w:widowControl w:val="0"/>
        <w:tabs>
          <w:tab w:val="left" w:pos="1863"/>
        </w:tabs>
        <w:kinsoku/>
        <w:wordWrap/>
        <w:overflowPunct w:val="0"/>
        <w:topLinePunct w:val="0"/>
        <w:autoSpaceDE w:val="0"/>
        <w:autoSpaceDN w:val="0"/>
        <w:bidi w:val="0"/>
        <w:adjustRightInd w:val="0"/>
        <w:snapToGrid w:val="0"/>
        <w:spacing w:line="360" w:lineRule="auto"/>
        <w:ind w:firstLine="396" w:firstLineChars="20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4.</w:t>
      </w:r>
      <w:r>
        <w:rPr>
          <w:rFonts w:hint="eastAsia" w:ascii="仿宋" w:hAnsi="仿宋" w:eastAsia="仿宋" w:cs="仿宋"/>
          <w:snapToGrid w:val="0"/>
          <w:color w:val="auto"/>
          <w:kern w:val="2"/>
          <w:sz w:val="21"/>
          <w:szCs w:val="21"/>
          <w:highlight w:val="none"/>
          <w:lang w:val="en-US" w:eastAsia="en-US" w:bidi="ar-SA"/>
        </w:rPr>
        <w:t>中标供应商应向采购人提交项目实施过程中的所有资料，以便采购人日后管理和维护。</w:t>
      </w:r>
    </w:p>
    <w:p w14:paraId="52CE3643">
      <w:pPr>
        <w:pStyle w:val="16"/>
        <w:keepNext w:val="0"/>
        <w:keepLines w:val="0"/>
        <w:pageBreakBefore w:val="0"/>
        <w:wordWrap/>
        <w:overflowPunct w:val="0"/>
        <w:topLinePunct w:val="0"/>
        <w:bidi w:val="0"/>
        <w:snapToGrid w:val="0"/>
        <w:spacing w:line="360" w:lineRule="auto"/>
        <w:ind w:firstLine="422" w:firstLineChars="200"/>
        <w:jc w:val="both"/>
        <w:rPr>
          <w:rFonts w:hint="eastAsia" w:ascii="仿宋" w:hAnsi="仿宋" w:eastAsia="仿宋" w:cs="仿宋"/>
          <w:b/>
          <w:color w:val="auto"/>
          <w:sz w:val="21"/>
          <w:szCs w:val="21"/>
          <w:highlight w:val="none"/>
        </w:rPr>
      </w:pPr>
      <w:bookmarkStart w:id="5" w:name="第六条__知识产权（若有）"/>
      <w:bookmarkEnd w:id="5"/>
      <w:r>
        <w:rPr>
          <w:rFonts w:hint="eastAsia" w:ascii="仿宋" w:hAnsi="仿宋" w:eastAsia="仿宋" w:cs="仿宋"/>
          <w:b/>
          <w:color w:val="auto"/>
          <w:sz w:val="21"/>
          <w:szCs w:val="21"/>
          <w:highlight w:val="none"/>
        </w:rPr>
        <w:t>第六条</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知识产权（若有）</w:t>
      </w:r>
    </w:p>
    <w:p w14:paraId="0BA3BCA8">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乙方应保证所提供的服务或其任何一部分均不会侵犯任何第三方的专利权、商标权或著作权。</w:t>
      </w:r>
    </w:p>
    <w:p w14:paraId="4522EB97">
      <w:pPr>
        <w:pStyle w:val="16"/>
        <w:keepNext w:val="0"/>
        <w:keepLines w:val="0"/>
        <w:pageBreakBefore w:val="0"/>
        <w:wordWrap/>
        <w:overflowPunct w:val="0"/>
        <w:topLinePunct w:val="0"/>
        <w:bidi w:val="0"/>
        <w:snapToGrid w:val="0"/>
        <w:spacing w:line="360" w:lineRule="auto"/>
        <w:ind w:firstLine="422" w:firstLineChars="200"/>
        <w:jc w:val="both"/>
        <w:rPr>
          <w:rFonts w:hint="eastAsia" w:ascii="仿宋" w:hAnsi="仿宋" w:eastAsia="仿宋" w:cs="仿宋"/>
          <w:b/>
          <w:color w:val="auto"/>
          <w:sz w:val="21"/>
          <w:szCs w:val="21"/>
          <w:highlight w:val="none"/>
        </w:rPr>
      </w:pPr>
      <w:bookmarkStart w:id="6" w:name="第七条__无产权瑕疵条款（若有）"/>
      <w:bookmarkEnd w:id="6"/>
      <w:r>
        <w:rPr>
          <w:rFonts w:hint="eastAsia" w:ascii="仿宋" w:hAnsi="仿宋" w:eastAsia="仿宋" w:cs="仿宋"/>
          <w:b/>
          <w:color w:val="auto"/>
          <w:sz w:val="21"/>
          <w:szCs w:val="21"/>
          <w:highlight w:val="none"/>
        </w:rPr>
        <w:t>第七条</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无产权瑕疵条款（若有）</w:t>
      </w:r>
    </w:p>
    <w:p w14:paraId="70E367BB">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乙方保证所提供的服务的所有权完全属于乙方且无任何抵押、查封等产权瑕疵。如有产权瑕疵的，视为乙方违约。乙方应负担由此而产生的一切损失。</w:t>
      </w:r>
    </w:p>
    <w:p w14:paraId="5CAEF33E">
      <w:pPr>
        <w:pStyle w:val="16"/>
        <w:keepNext w:val="0"/>
        <w:keepLines w:val="0"/>
        <w:pageBreakBefore w:val="0"/>
        <w:wordWrap/>
        <w:overflowPunct w:val="0"/>
        <w:topLinePunct w:val="0"/>
        <w:bidi w:val="0"/>
        <w:snapToGrid w:val="0"/>
        <w:spacing w:line="360" w:lineRule="auto"/>
        <w:ind w:firstLine="422" w:firstLineChars="200"/>
        <w:jc w:val="both"/>
        <w:rPr>
          <w:rFonts w:hint="eastAsia" w:ascii="仿宋" w:hAnsi="仿宋" w:eastAsia="仿宋" w:cs="仿宋"/>
          <w:b/>
          <w:color w:val="auto"/>
          <w:sz w:val="21"/>
          <w:szCs w:val="21"/>
          <w:highlight w:val="none"/>
        </w:rPr>
      </w:pPr>
      <w:bookmarkStart w:id="7" w:name="第八条__双方的权利和义务"/>
      <w:bookmarkEnd w:id="7"/>
      <w:r>
        <w:rPr>
          <w:rFonts w:hint="eastAsia" w:ascii="仿宋" w:hAnsi="仿宋" w:eastAsia="仿宋" w:cs="仿宋"/>
          <w:b/>
          <w:color w:val="auto"/>
          <w:sz w:val="21"/>
          <w:szCs w:val="21"/>
          <w:highlight w:val="none"/>
        </w:rPr>
        <w:t xml:space="preserve">第八条 </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双方的权利和义务</w:t>
      </w:r>
    </w:p>
    <w:p w14:paraId="119CB967">
      <w:pPr>
        <w:pStyle w:val="16"/>
        <w:keepNext w:val="0"/>
        <w:keepLines w:val="0"/>
        <w:pageBreakBefore w:val="0"/>
        <w:wordWrap/>
        <w:overflowPunct w:val="0"/>
        <w:topLinePunct w:val="0"/>
        <w:bidi w:val="0"/>
        <w:snapToGrid w:val="0"/>
        <w:spacing w:line="360" w:lineRule="auto"/>
        <w:ind w:firstLine="422" w:firstLineChars="200"/>
        <w:jc w:val="both"/>
        <w:rPr>
          <w:rFonts w:hint="eastAsia" w:ascii="仿宋" w:hAnsi="仿宋" w:eastAsia="仿宋" w:cs="仿宋"/>
          <w:b/>
          <w:color w:val="auto"/>
          <w:sz w:val="21"/>
          <w:szCs w:val="21"/>
          <w:highlight w:val="none"/>
        </w:rPr>
      </w:pPr>
      <w:bookmarkStart w:id="8" w:name="（一）甲方的权利和义务"/>
      <w:bookmarkEnd w:id="8"/>
      <w:r>
        <w:rPr>
          <w:rFonts w:hint="eastAsia" w:ascii="仿宋" w:hAnsi="仿宋" w:eastAsia="仿宋" w:cs="仿宋"/>
          <w:b/>
          <w:color w:val="auto"/>
          <w:sz w:val="21"/>
          <w:szCs w:val="21"/>
          <w:highlight w:val="none"/>
        </w:rPr>
        <w:t>（一）甲方的权利和义务</w:t>
      </w:r>
    </w:p>
    <w:p w14:paraId="598361E3">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1、提供员工餐厅、操作间、办公室、库房、宿舍等经营场所和必</w:t>
      </w:r>
      <w:r>
        <w:rPr>
          <w:rFonts w:hint="eastAsia" w:ascii="仿宋" w:hAnsi="仿宋" w:eastAsia="仿宋" w:cs="仿宋"/>
          <w:color w:val="auto"/>
          <w:spacing w:val="-5"/>
          <w:sz w:val="21"/>
          <w:szCs w:val="21"/>
          <w:highlight w:val="none"/>
        </w:rPr>
        <w:t>要设施设备；并享有其所有权、监督权和维护权。</w:t>
      </w:r>
    </w:p>
    <w:p w14:paraId="315267DB">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2、提供餐厅桌椅，安装并维护售饭系统和水、电、气表及照明等</w:t>
      </w:r>
      <w:r>
        <w:rPr>
          <w:rFonts w:hint="eastAsia" w:ascii="仿宋" w:hAnsi="仿宋" w:eastAsia="仿宋" w:cs="仿宋"/>
          <w:color w:val="auto"/>
          <w:spacing w:val="-5"/>
          <w:sz w:val="21"/>
          <w:szCs w:val="21"/>
          <w:highlight w:val="none"/>
        </w:rPr>
        <w:t>基础设施，供经营使用，相关费用由甲方承担。</w:t>
      </w:r>
    </w:p>
    <w:p w14:paraId="7E363A64">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3、根据就餐需求，提供厨具等主要设备。</w:t>
      </w:r>
    </w:p>
    <w:p w14:paraId="371C06AA">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4、免费提供空调，改善员工就餐环境。</w:t>
      </w:r>
    </w:p>
    <w:p w14:paraId="2A7AEAA0">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5、保证水、电</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气的正常供应，并预置因水、电、气停供时应急</w:t>
      </w:r>
      <w:r>
        <w:rPr>
          <w:rFonts w:hint="eastAsia" w:ascii="仿宋" w:hAnsi="仿宋" w:eastAsia="仿宋" w:cs="仿宋"/>
          <w:color w:val="auto"/>
          <w:spacing w:val="-5"/>
          <w:sz w:val="21"/>
          <w:szCs w:val="21"/>
          <w:highlight w:val="none"/>
        </w:rPr>
        <w:t>所需用的设施。非特殊情况，如遇水、电、气临时停供，甲方应提前</w:t>
      </w:r>
      <w:r>
        <w:rPr>
          <w:rFonts w:hint="eastAsia" w:ascii="仿宋" w:hAnsi="仿宋" w:eastAsia="仿宋" w:cs="仿宋"/>
          <w:color w:val="auto"/>
          <w:spacing w:val="-3"/>
          <w:sz w:val="21"/>
          <w:szCs w:val="21"/>
          <w:highlight w:val="none"/>
        </w:rPr>
        <w:t>通知乙方，以便乙方做好应急处理。</w:t>
      </w:r>
    </w:p>
    <w:p w14:paraId="4F2CCD06">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6、协助乙方处理好与卫生防疫等国家职能部门的关系，协调各部</w:t>
      </w:r>
      <w:r>
        <w:rPr>
          <w:rFonts w:hint="eastAsia" w:ascii="仿宋" w:hAnsi="仿宋" w:eastAsia="仿宋" w:cs="仿宋"/>
          <w:color w:val="auto"/>
          <w:spacing w:val="-5"/>
          <w:sz w:val="21"/>
          <w:szCs w:val="21"/>
          <w:highlight w:val="none"/>
        </w:rPr>
        <w:t>门及就餐人员与乙方的关系，文明用餐。</w:t>
      </w:r>
    </w:p>
    <w:p w14:paraId="0D8514B0">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7、有权对乙方人员健康等情况进行监督检查。若发现问题，有权</w:t>
      </w:r>
      <w:r>
        <w:rPr>
          <w:rFonts w:hint="eastAsia" w:ascii="仿宋" w:hAnsi="仿宋" w:eastAsia="仿宋" w:cs="仿宋"/>
          <w:color w:val="auto"/>
          <w:spacing w:val="-5"/>
          <w:sz w:val="21"/>
          <w:szCs w:val="21"/>
          <w:highlight w:val="none"/>
        </w:rPr>
        <w:t>向乙方提出对相关人员的处理意见。</w:t>
      </w:r>
    </w:p>
    <w:p w14:paraId="2D20E3A1">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8、有权对乙方原材料采购进行索证要求、抽样检查，食品制作和成品质量、价格及人员服务态度等进行全程监控，并根据发现问题和就餐人员意见，对乙方提出改进意见，监督检查乙方改进情况。</w:t>
      </w:r>
    </w:p>
    <w:p w14:paraId="3632755A">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9、除甲方领导和主管业务部门人员外，其他人员未经许可不得擅</w:t>
      </w:r>
      <w:r>
        <w:rPr>
          <w:rFonts w:hint="eastAsia" w:ascii="仿宋" w:hAnsi="仿宋" w:eastAsia="仿宋" w:cs="仿宋"/>
          <w:color w:val="auto"/>
          <w:spacing w:val="-5"/>
          <w:sz w:val="21"/>
          <w:szCs w:val="21"/>
          <w:highlight w:val="none"/>
        </w:rPr>
        <w:t>自进入乙方工作场所。</w:t>
      </w:r>
    </w:p>
    <w:p w14:paraId="21BDB90A">
      <w:pPr>
        <w:pStyle w:val="16"/>
        <w:keepNext w:val="0"/>
        <w:keepLines w:val="0"/>
        <w:pageBreakBefore w:val="0"/>
        <w:wordWrap/>
        <w:overflowPunct w:val="0"/>
        <w:topLinePunct w:val="0"/>
        <w:bidi w:val="0"/>
        <w:snapToGrid w:val="0"/>
        <w:spacing w:line="360" w:lineRule="auto"/>
        <w:ind w:firstLine="422" w:firstLineChars="200"/>
        <w:jc w:val="both"/>
        <w:rPr>
          <w:rFonts w:hint="eastAsia" w:ascii="仿宋" w:hAnsi="仿宋" w:eastAsia="仿宋" w:cs="仿宋"/>
          <w:color w:val="auto"/>
          <w:sz w:val="21"/>
          <w:szCs w:val="21"/>
          <w:highlight w:val="none"/>
        </w:rPr>
      </w:pPr>
      <w:r>
        <w:rPr>
          <w:rFonts w:hint="eastAsia" w:ascii="仿宋" w:hAnsi="仿宋" w:eastAsia="仿宋" w:cs="仿宋"/>
          <w:b/>
          <w:color w:val="auto"/>
          <w:sz w:val="21"/>
          <w:szCs w:val="21"/>
          <w:highlight w:val="none"/>
        </w:rPr>
        <w:t>（二）乙方的权利和义务</w:t>
      </w:r>
    </w:p>
    <w:p w14:paraId="74850198">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1、严格遵守国家法律法规和甲方规章制度，保守甲方的商业秘密。</w:t>
      </w:r>
    </w:p>
    <w:p w14:paraId="7920BD30">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2、爱护甲方所提供的房屋、设施，如人为损坏和丢失，承担维修或赔偿的责任。正常报废的设施设备，经甲方同意后办理资产核减手续。</w:t>
      </w:r>
    </w:p>
    <w:p w14:paraId="5EAB8A81">
      <w:pPr>
        <w:pStyle w:val="2"/>
        <w:keepNext w:val="0"/>
        <w:keepLines w:val="0"/>
        <w:pageBreakBefore w:val="0"/>
        <w:widowControl w:val="0"/>
        <w:tabs>
          <w:tab w:val="left" w:pos="567"/>
        </w:tabs>
        <w:kinsoku/>
        <w:wordWrap/>
        <w:overflowPunct w:val="0"/>
        <w:topLinePunct w:val="0"/>
        <w:autoSpaceDE/>
        <w:autoSpaceDN w:val="0"/>
        <w:bidi w:val="0"/>
        <w:adjustRightInd w:val="0"/>
        <w:snapToGrid w:val="0"/>
        <w:spacing w:line="360" w:lineRule="auto"/>
        <w:ind w:firstLine="420" w:firstLineChars="20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3、加强对所属人员的管理教育并对其聘用的工作人员所发生的安</w:t>
      </w:r>
      <w:r>
        <w:rPr>
          <w:rFonts w:hint="eastAsia" w:ascii="仿宋" w:hAnsi="仿宋" w:eastAsia="仿宋" w:cs="仿宋"/>
          <w:color w:val="auto"/>
          <w:spacing w:val="-3"/>
          <w:sz w:val="21"/>
          <w:szCs w:val="21"/>
          <w:highlight w:val="none"/>
        </w:rPr>
        <w:t>全事故负有全部责任。未经甲方允许，乙方人员不得进甲方的生产、</w:t>
      </w:r>
      <w:r>
        <w:rPr>
          <w:rFonts w:hint="eastAsia" w:ascii="仿宋" w:hAnsi="仿宋" w:eastAsia="仿宋" w:cs="仿宋"/>
          <w:color w:val="auto"/>
          <w:spacing w:val="-2"/>
          <w:sz w:val="21"/>
          <w:szCs w:val="21"/>
          <w:highlight w:val="none"/>
        </w:rPr>
        <w:t>工作区域。</w:t>
      </w:r>
    </w:p>
    <w:p w14:paraId="0FD95424">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4、按照国家对饮食服务行业的有关规定和甲方的要求，搞好并保</w:t>
      </w:r>
      <w:r>
        <w:rPr>
          <w:rFonts w:hint="eastAsia" w:ascii="仿宋" w:hAnsi="仿宋" w:eastAsia="仿宋" w:cs="仿宋"/>
          <w:color w:val="auto"/>
          <w:spacing w:val="-5"/>
          <w:sz w:val="21"/>
          <w:szCs w:val="21"/>
          <w:highlight w:val="none"/>
        </w:rPr>
        <w:t>持经营场所及周围环境的卫生。</w:t>
      </w:r>
    </w:p>
    <w:p w14:paraId="7E0C7A2C">
      <w:pPr>
        <w:pStyle w:val="2"/>
        <w:keepNext w:val="0"/>
        <w:keepLines w:val="0"/>
        <w:pageBreakBefore w:val="0"/>
        <w:widowControl w:val="0"/>
        <w:tabs>
          <w:tab w:val="left" w:pos="567"/>
        </w:tabs>
        <w:kinsoku/>
        <w:wordWrap/>
        <w:overflowPunct w:val="0"/>
        <w:topLinePunct w:val="0"/>
        <w:autoSpaceDE/>
        <w:autoSpaceDN w:val="0"/>
        <w:bidi w:val="0"/>
        <w:adjustRightInd w:val="0"/>
        <w:snapToGrid w:val="0"/>
        <w:spacing w:line="360" w:lineRule="auto"/>
        <w:ind w:firstLine="420" w:firstLineChars="20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5、严格执行《中华人民共和国食品卫生法》，确保食品卫生安全。如因乙方原因发生食物中毒，由乙方承担全部责任。</w:t>
      </w:r>
    </w:p>
    <w:p w14:paraId="6AE2BF17">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主动向甲方提供工作人员花名册及健康证明复印件。乙方更换工作人员，应通知甲方并提供相应证件及健康证明，接受甲方在人员政治、健康、食品卫生安全、服务全程等方面的监督检查，认真听取批评意见，积极改正存在的问题。</w:t>
      </w:r>
    </w:p>
    <w:p w14:paraId="25EB2A71">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7、乙方不得将餐厅转包他人，保证一日三餐按时正常供应；节假日加班、会议或</w:t>
      </w:r>
      <w:r>
        <w:rPr>
          <w:rFonts w:hint="eastAsia" w:ascii="仿宋" w:hAnsi="仿宋" w:eastAsia="仿宋" w:cs="仿宋"/>
          <w:color w:val="auto"/>
          <w:sz w:val="21"/>
          <w:szCs w:val="21"/>
          <w:highlight w:val="none"/>
          <w:lang w:eastAsia="zh-CN"/>
        </w:rPr>
        <w:t>重要公务活动</w:t>
      </w:r>
      <w:r>
        <w:rPr>
          <w:rFonts w:hint="eastAsia" w:ascii="仿宋" w:hAnsi="仿宋" w:eastAsia="仿宋" w:cs="仿宋"/>
          <w:color w:val="auto"/>
          <w:sz w:val="21"/>
          <w:szCs w:val="21"/>
          <w:highlight w:val="none"/>
        </w:rPr>
        <w:t>时乙方必须保证用餐。</w:t>
      </w:r>
    </w:p>
    <w:p w14:paraId="09EAAE02">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8、在合同服务期间，对甲方提供的经营场所、设备器具拥有使用权。</w:t>
      </w:r>
    </w:p>
    <w:p w14:paraId="73B4E201">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9、拥有自主经营权，包括财务、人事、采购、经营管理等自主权。</w:t>
      </w:r>
    </w:p>
    <w:p w14:paraId="5748E64A">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10、在甲方有重要活动需要配合时，乙方应积极予以配合。</w:t>
      </w:r>
    </w:p>
    <w:p w14:paraId="6F745EAB">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11、乙方须将采购原料的产地、价格、商标、数量、供货商资料证照等提供给甲方，供甲方监督，乙方不得使用“三无”原材料，一经发现甲方有权单方面解除本协议。</w:t>
      </w:r>
    </w:p>
    <w:p w14:paraId="288C4CAD">
      <w:pPr>
        <w:keepNext w:val="0"/>
        <w:keepLines w:val="0"/>
        <w:pageBreakBefore w:val="0"/>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12、乙方经营承包到期库存材料自行处理，甲方不予接收。</w:t>
      </w:r>
      <w:bookmarkStart w:id="9" w:name="第九条__违约责任"/>
      <w:bookmarkEnd w:id="9"/>
    </w:p>
    <w:p w14:paraId="1A32D4DD">
      <w:pPr>
        <w:keepNext w:val="0"/>
        <w:keepLines w:val="0"/>
        <w:pageBreakBefore w:val="0"/>
        <w:wordWrap/>
        <w:overflowPunct w:val="0"/>
        <w:topLinePunct w:val="0"/>
        <w:bidi w:val="0"/>
        <w:snapToGrid w:val="0"/>
        <w:spacing w:line="360" w:lineRule="auto"/>
        <w:ind w:firstLine="422" w:firstLineChars="200"/>
        <w:jc w:val="both"/>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 xml:space="preserve">第九条 </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违约责任</w:t>
      </w:r>
    </w:p>
    <w:p w14:paraId="50D1B0C8">
      <w:pPr>
        <w:pStyle w:val="17"/>
        <w:keepNext w:val="0"/>
        <w:keepLines w:val="0"/>
        <w:pageBreakBefore w:val="0"/>
        <w:widowControl w:val="0"/>
        <w:tabs>
          <w:tab w:val="left" w:pos="1863"/>
        </w:tabs>
        <w:wordWrap/>
        <w:overflowPunct w:val="0"/>
        <w:topLinePunct w:val="0"/>
        <w:autoSpaceDE w:val="0"/>
        <w:autoSpaceDN w:val="0"/>
        <w:bidi w:val="0"/>
        <w:snapToGrid w:val="0"/>
        <w:spacing w:line="360" w:lineRule="auto"/>
        <w:jc w:val="both"/>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1.甲乙双方必须遵守本合同并执行合同中的各项规定，保证本</w:t>
      </w:r>
      <w:r>
        <w:rPr>
          <w:rFonts w:hint="eastAsia" w:ascii="仿宋" w:hAnsi="仿宋" w:eastAsia="仿宋" w:cs="仿宋"/>
          <w:color w:val="auto"/>
          <w:spacing w:val="-4"/>
          <w:sz w:val="21"/>
          <w:szCs w:val="21"/>
          <w:highlight w:val="none"/>
        </w:rPr>
        <w:t>合同的正常履行。</w:t>
      </w:r>
    </w:p>
    <w:p w14:paraId="5FE39C52">
      <w:pPr>
        <w:pStyle w:val="17"/>
        <w:keepNext w:val="0"/>
        <w:keepLines w:val="0"/>
        <w:pageBreakBefore w:val="0"/>
        <w:widowControl w:val="0"/>
        <w:tabs>
          <w:tab w:val="left" w:pos="1863"/>
        </w:tabs>
        <w:wordWrap/>
        <w:overflowPunct w:val="0"/>
        <w:topLinePunct w:val="0"/>
        <w:autoSpaceDE w:val="0"/>
        <w:autoSpaceDN w:val="0"/>
        <w:bidi w:val="0"/>
        <w:snapToGrid w:val="0"/>
        <w:spacing w:line="360" w:lineRule="auto"/>
        <w:jc w:val="both"/>
        <w:rPr>
          <w:rFonts w:hint="eastAsia" w:ascii="仿宋" w:hAnsi="仿宋" w:eastAsia="仿宋" w:cs="仿宋"/>
          <w:color w:val="auto"/>
          <w:sz w:val="21"/>
          <w:szCs w:val="21"/>
          <w:highlight w:val="none"/>
        </w:rPr>
      </w:pPr>
      <w:r>
        <w:rPr>
          <w:rFonts w:hint="eastAsia" w:ascii="仿宋" w:hAnsi="仿宋" w:eastAsia="仿宋" w:cs="仿宋"/>
          <w:color w:val="auto"/>
          <w:spacing w:val="-8"/>
          <w:sz w:val="21"/>
          <w:szCs w:val="21"/>
          <w:highlight w:val="none"/>
        </w:rPr>
        <w:t>2.如因乙方工作人员在履行职务过程中的的疏忽、失职、过错</w:t>
      </w:r>
      <w:r>
        <w:rPr>
          <w:rFonts w:hint="eastAsia" w:ascii="仿宋" w:hAnsi="仿宋" w:eastAsia="仿宋" w:cs="仿宋"/>
          <w:color w:val="auto"/>
          <w:spacing w:val="-3"/>
          <w:sz w:val="21"/>
          <w:szCs w:val="21"/>
          <w:highlight w:val="none"/>
        </w:rPr>
        <w:t>等故意或者过失原因给甲方造成损失或侵害，包括但不限于甲方本身的财产损失、由此而导致的甲方对任何第三方的法律责任等，乙方对此均应承担全部的赔偿责任。</w:t>
      </w:r>
    </w:p>
    <w:p w14:paraId="4A415169">
      <w:pPr>
        <w:keepNext w:val="0"/>
        <w:keepLines w:val="0"/>
        <w:pageBreakBefore w:val="0"/>
        <w:wordWrap/>
        <w:overflowPunct w:val="0"/>
        <w:topLinePunct w:val="0"/>
        <w:bidi w:val="0"/>
        <w:snapToGrid w:val="0"/>
        <w:spacing w:line="360" w:lineRule="auto"/>
        <w:ind w:firstLine="422" w:firstLineChars="200"/>
        <w:jc w:val="both"/>
        <w:rPr>
          <w:rFonts w:hint="eastAsia" w:ascii="仿宋" w:hAnsi="仿宋" w:eastAsia="仿宋" w:cs="仿宋"/>
          <w:b/>
          <w:color w:val="auto"/>
          <w:sz w:val="21"/>
          <w:szCs w:val="21"/>
          <w:highlight w:val="none"/>
        </w:rPr>
      </w:pPr>
      <w:bookmarkStart w:id="10" w:name="第十条__不可抗力事件处理"/>
      <w:bookmarkEnd w:id="10"/>
      <w:r>
        <w:rPr>
          <w:rFonts w:hint="eastAsia" w:ascii="仿宋" w:hAnsi="仿宋" w:eastAsia="仿宋" w:cs="仿宋"/>
          <w:b/>
          <w:color w:val="auto"/>
          <w:sz w:val="21"/>
          <w:szCs w:val="21"/>
          <w:highlight w:val="none"/>
        </w:rPr>
        <w:t xml:space="preserve">第十条 </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不可抗力事件处理</w:t>
      </w:r>
    </w:p>
    <w:p w14:paraId="64EBBCA2">
      <w:pPr>
        <w:pStyle w:val="17"/>
        <w:keepNext w:val="0"/>
        <w:keepLines w:val="0"/>
        <w:pageBreakBefore w:val="0"/>
        <w:widowControl w:val="0"/>
        <w:tabs>
          <w:tab w:val="left" w:pos="1863"/>
        </w:tabs>
        <w:kinsoku w:val="0"/>
        <w:wordWrap/>
        <w:overflowPunct w:val="0"/>
        <w:topLinePunct w:val="0"/>
        <w:autoSpaceDE w:val="0"/>
        <w:autoSpaceDN w:val="0"/>
        <w:bidi w:val="0"/>
        <w:adjustRightInd w:val="0"/>
        <w:snapToGrid w:val="0"/>
        <w:spacing w:line="360" w:lineRule="auto"/>
        <w:ind w:left="0" w:leftChars="0" w:firstLine="364" w:firstLineChars="20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14"/>
          <w:sz w:val="21"/>
          <w:szCs w:val="21"/>
          <w:highlight w:val="none"/>
        </w:rPr>
        <w:t>1.在合同有效期内，任何一方因不可抗力事件导致不能履行合同</w:t>
      </w:r>
      <w:r>
        <w:rPr>
          <w:rFonts w:hint="eastAsia" w:ascii="仿宋" w:hAnsi="仿宋" w:eastAsia="仿宋" w:cs="仿宋"/>
          <w:color w:val="auto"/>
          <w:spacing w:val="-7"/>
          <w:sz w:val="21"/>
          <w:szCs w:val="21"/>
          <w:highlight w:val="none"/>
        </w:rPr>
        <w:t>，则合同履行期可延长，其延长期与不可抗力影响期相同。</w:t>
      </w:r>
    </w:p>
    <w:p w14:paraId="1E00532F">
      <w:pPr>
        <w:pStyle w:val="17"/>
        <w:keepNext w:val="0"/>
        <w:keepLines w:val="0"/>
        <w:pageBreakBefore w:val="0"/>
        <w:widowControl w:val="0"/>
        <w:tabs>
          <w:tab w:val="left" w:pos="1863"/>
        </w:tabs>
        <w:kinsoku w:val="0"/>
        <w:wordWrap/>
        <w:overflowPunct w:val="0"/>
        <w:topLinePunct w:val="0"/>
        <w:autoSpaceDE w:val="0"/>
        <w:autoSpaceDN w:val="0"/>
        <w:bidi w:val="0"/>
        <w:adjustRightInd w:val="0"/>
        <w:snapToGrid w:val="0"/>
        <w:spacing w:line="360" w:lineRule="auto"/>
        <w:ind w:left="0" w:leftChars="0" w:firstLine="376" w:firstLineChars="20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11"/>
          <w:sz w:val="21"/>
          <w:szCs w:val="21"/>
          <w:highlight w:val="none"/>
        </w:rPr>
        <w:t>2.不可抗力事件发生后，应立即通知对方，并寄送有关权威机</w:t>
      </w:r>
      <w:r>
        <w:rPr>
          <w:rFonts w:hint="eastAsia" w:ascii="仿宋" w:hAnsi="仿宋" w:eastAsia="仿宋" w:cs="仿宋"/>
          <w:color w:val="auto"/>
          <w:spacing w:val="-6"/>
          <w:sz w:val="21"/>
          <w:szCs w:val="21"/>
          <w:highlight w:val="none"/>
        </w:rPr>
        <w:t>构出具的证明。</w:t>
      </w:r>
    </w:p>
    <w:p w14:paraId="1256E06F">
      <w:pPr>
        <w:pStyle w:val="17"/>
        <w:keepNext w:val="0"/>
        <w:keepLines w:val="0"/>
        <w:pageBreakBefore w:val="0"/>
        <w:widowControl w:val="0"/>
        <w:tabs>
          <w:tab w:val="left" w:pos="1863"/>
        </w:tabs>
        <w:kinsoku w:val="0"/>
        <w:wordWrap/>
        <w:overflowPunct w:val="0"/>
        <w:topLinePunct w:val="0"/>
        <w:autoSpaceDE w:val="0"/>
        <w:autoSpaceDN w:val="0"/>
        <w:bidi w:val="0"/>
        <w:adjustRightInd w:val="0"/>
        <w:snapToGrid w:val="0"/>
        <w:spacing w:line="360" w:lineRule="auto"/>
        <w:ind w:left="0" w:leftChars="0" w:firstLine="380" w:firstLineChars="20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10"/>
          <w:sz w:val="21"/>
          <w:szCs w:val="21"/>
          <w:highlight w:val="none"/>
        </w:rPr>
        <w:t>3.不可抗</w:t>
      </w:r>
      <w:r>
        <w:rPr>
          <w:rFonts w:hint="eastAsia" w:ascii="仿宋" w:hAnsi="仿宋" w:eastAsia="仿宋" w:cs="仿宋"/>
          <w:color w:val="auto"/>
          <w:spacing w:val="-10"/>
          <w:sz w:val="21"/>
          <w:szCs w:val="21"/>
          <w:highlight w:val="none"/>
        </w:rPr>
        <w:t>力事件延续</w:t>
      </w:r>
      <w:r>
        <w:rPr>
          <w:rFonts w:hint="eastAsia" w:ascii="仿宋" w:hAnsi="仿宋" w:eastAsia="仿宋" w:cs="仿宋"/>
          <w:color w:val="auto"/>
          <w:sz w:val="21"/>
          <w:szCs w:val="21"/>
          <w:highlight w:val="none"/>
        </w:rPr>
        <w:t>15</w:t>
      </w:r>
      <w:r>
        <w:rPr>
          <w:rFonts w:hint="eastAsia" w:ascii="仿宋" w:hAnsi="仿宋" w:eastAsia="仿宋" w:cs="仿宋"/>
          <w:color w:val="auto"/>
          <w:spacing w:val="-10"/>
          <w:sz w:val="21"/>
          <w:szCs w:val="21"/>
          <w:highlight w:val="none"/>
        </w:rPr>
        <w:t>个</w:t>
      </w:r>
      <w:r>
        <w:rPr>
          <w:rFonts w:hint="eastAsia" w:ascii="仿宋" w:hAnsi="仿宋" w:eastAsia="仿宋" w:cs="仿宋"/>
          <w:color w:val="auto"/>
          <w:spacing w:val="-10"/>
          <w:sz w:val="21"/>
          <w:szCs w:val="21"/>
          <w:highlight w:val="none"/>
          <w:lang w:val="en-US" w:eastAsia="zh-CN"/>
        </w:rPr>
        <w:t>工作</w:t>
      </w:r>
      <w:r>
        <w:rPr>
          <w:rFonts w:hint="eastAsia" w:ascii="仿宋" w:hAnsi="仿宋" w:eastAsia="仿宋" w:cs="仿宋"/>
          <w:color w:val="auto"/>
          <w:spacing w:val="-10"/>
          <w:sz w:val="21"/>
          <w:szCs w:val="21"/>
          <w:highlight w:val="none"/>
        </w:rPr>
        <w:t>日以上，双方应通过</w:t>
      </w:r>
      <w:r>
        <w:rPr>
          <w:rFonts w:hint="eastAsia" w:ascii="仿宋" w:hAnsi="仿宋" w:eastAsia="仿宋" w:cs="仿宋"/>
          <w:color w:val="auto"/>
          <w:spacing w:val="-10"/>
          <w:sz w:val="21"/>
          <w:szCs w:val="21"/>
          <w:highlight w:val="none"/>
        </w:rPr>
        <w:t>友好协商，</w:t>
      </w:r>
      <w:r>
        <w:rPr>
          <w:rFonts w:hint="eastAsia" w:ascii="仿宋" w:hAnsi="仿宋" w:eastAsia="仿宋" w:cs="仿宋"/>
          <w:color w:val="auto"/>
          <w:spacing w:val="-4"/>
          <w:sz w:val="21"/>
          <w:szCs w:val="21"/>
          <w:highlight w:val="none"/>
        </w:rPr>
        <w:t>确定是否继续履行合同。</w:t>
      </w:r>
    </w:p>
    <w:p w14:paraId="0B8864FD">
      <w:pPr>
        <w:keepNext w:val="0"/>
        <w:keepLines w:val="0"/>
        <w:pageBreakBefore w:val="0"/>
        <w:wordWrap/>
        <w:overflowPunct w:val="0"/>
        <w:topLinePunct w:val="0"/>
        <w:bidi w:val="0"/>
        <w:snapToGrid w:val="0"/>
        <w:spacing w:line="360" w:lineRule="auto"/>
        <w:ind w:firstLine="422" w:firstLineChars="200"/>
        <w:jc w:val="both"/>
        <w:rPr>
          <w:rFonts w:hint="eastAsia" w:ascii="仿宋" w:hAnsi="仿宋" w:eastAsia="仿宋" w:cs="仿宋"/>
          <w:b/>
          <w:color w:val="auto"/>
          <w:sz w:val="21"/>
          <w:szCs w:val="21"/>
          <w:highlight w:val="none"/>
        </w:rPr>
      </w:pPr>
      <w:bookmarkStart w:id="11" w:name="第十一条__合同的变更和终止"/>
      <w:bookmarkEnd w:id="11"/>
      <w:r>
        <w:rPr>
          <w:rFonts w:hint="eastAsia" w:ascii="仿宋" w:hAnsi="仿宋" w:eastAsia="仿宋" w:cs="仿宋"/>
          <w:b/>
          <w:color w:val="auto"/>
          <w:sz w:val="21"/>
          <w:szCs w:val="21"/>
          <w:highlight w:val="none"/>
        </w:rPr>
        <w:t>第十一条</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 xml:space="preserve"> 合同的变更和终止</w:t>
      </w:r>
    </w:p>
    <w:p w14:paraId="5D75BFEB">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合同期内双方均不得擅自终止或解除本合同，确需中止或解除的，须提前一个月通知对方。若乙方的服务不符合合同约定，经甲方两次书面通知仍不能满足甲方要求，甲方有权提前解除合同，无需支</w:t>
      </w:r>
      <w:r>
        <w:rPr>
          <w:rFonts w:hint="eastAsia" w:ascii="仿宋" w:hAnsi="仿宋" w:eastAsia="仿宋" w:cs="仿宋"/>
          <w:color w:val="auto"/>
          <w:spacing w:val="-2"/>
          <w:sz w:val="21"/>
          <w:szCs w:val="21"/>
          <w:highlight w:val="none"/>
        </w:rPr>
        <w:t>付赔偿。</w:t>
      </w:r>
    </w:p>
    <w:p w14:paraId="06AC48F5">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如发生因乙方本身及所属员工失职造成较大社会负面影响事件</w:t>
      </w:r>
      <w:r>
        <w:rPr>
          <w:rFonts w:hint="eastAsia" w:ascii="仿宋" w:hAnsi="仿宋" w:eastAsia="仿宋" w:cs="仿宋"/>
          <w:color w:val="auto"/>
          <w:spacing w:val="-5"/>
          <w:sz w:val="21"/>
          <w:szCs w:val="21"/>
          <w:highlight w:val="none"/>
        </w:rPr>
        <w:t>情节严重的，甲方有权提前解除合同，无需支付赔偿。</w:t>
      </w:r>
    </w:p>
    <w:p w14:paraId="01C5B9CF">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因不可抗力造成合同不能继续履行时，双方均可协商变更、中</w:t>
      </w:r>
      <w:r>
        <w:rPr>
          <w:rFonts w:hint="eastAsia" w:ascii="仿宋" w:hAnsi="仿宋" w:eastAsia="仿宋" w:cs="仿宋"/>
          <w:color w:val="auto"/>
          <w:spacing w:val="-5"/>
          <w:sz w:val="21"/>
          <w:szCs w:val="21"/>
          <w:highlight w:val="none"/>
        </w:rPr>
        <w:t>止或解除合同。</w:t>
      </w:r>
    </w:p>
    <w:p w14:paraId="1FAFD8E6">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lang w:eastAsia="zh-CN"/>
        </w:rPr>
        <w:t>甲方每年双方合同期满前对乙方在月度考核的基础上进行综合测评</w:t>
      </w:r>
      <w:r>
        <w:rPr>
          <w:rFonts w:hint="eastAsia" w:ascii="仿宋" w:hAnsi="仿宋" w:eastAsia="仿宋" w:cs="仿宋"/>
          <w:color w:val="auto"/>
          <w:sz w:val="21"/>
          <w:szCs w:val="21"/>
          <w:highlight w:val="none"/>
        </w:rPr>
        <w:t>，如测</w:t>
      </w:r>
      <w:r>
        <w:rPr>
          <w:rFonts w:hint="eastAsia" w:ascii="仿宋" w:hAnsi="仿宋" w:eastAsia="仿宋" w:cs="仿宋"/>
          <w:color w:val="auto"/>
          <w:spacing w:val="-5"/>
          <w:sz w:val="21"/>
          <w:szCs w:val="21"/>
          <w:highlight w:val="none"/>
        </w:rPr>
        <w:t>评不合格，甲方有权解除合同，且无需支付赔偿。</w:t>
      </w:r>
    </w:p>
    <w:p w14:paraId="089C9D47">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5</w:t>
      </w:r>
      <w:r>
        <w:rPr>
          <w:rFonts w:hint="eastAsia" w:ascii="仿宋" w:hAnsi="仿宋" w:eastAsia="仿宋" w:cs="仿宋"/>
          <w:color w:val="auto"/>
          <w:sz w:val="21"/>
          <w:szCs w:val="21"/>
          <w:highlight w:val="none"/>
          <w:lang w:val="en-US" w:eastAsia="zh-CN"/>
        </w:rPr>
        <w:t>.在经营期内发生责任事故，由乙方承担相应赔偿责任。</w:t>
      </w:r>
    </w:p>
    <w:p w14:paraId="503DF1DD">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甲方未按照本合同约定的付款期限支付乙方服务费，乙方可以书面形式提出付费期限申请，若期限内未支付，视为甲方违约，甲方须承担违约责任，乙方有权单方解除合同，并随时撤回派驻人员，后果由甲方自行承担。若财政拨款时间延期、滞后则付款期限顺延到财政拨款到位。</w:t>
      </w:r>
    </w:p>
    <w:p w14:paraId="22E7A54C">
      <w:pPr>
        <w:pStyle w:val="2"/>
        <w:keepNext w:val="0"/>
        <w:keepLines w:val="0"/>
        <w:pageBreakBefore w:val="0"/>
        <w:tabs>
          <w:tab w:val="left" w:pos="567"/>
        </w:tabs>
        <w:wordWrap/>
        <w:overflowPunct w:val="0"/>
        <w:topLinePunct w:val="0"/>
        <w:bidi w:val="0"/>
        <w:snapToGrid w:val="0"/>
        <w:spacing w:line="360" w:lineRule="auto"/>
        <w:ind w:firstLine="416"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pacing w:val="-1"/>
          <w:sz w:val="21"/>
          <w:szCs w:val="21"/>
          <w:highlight w:val="none"/>
        </w:rPr>
        <w:t>7</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合同期内因甲方的实际需要对服务人员数量需进行较大调整时，</w:t>
      </w:r>
      <w:r>
        <w:rPr>
          <w:rFonts w:hint="eastAsia" w:ascii="仿宋" w:hAnsi="仿宋" w:eastAsia="仿宋" w:cs="仿宋"/>
          <w:color w:val="auto"/>
          <w:spacing w:val="-5"/>
          <w:sz w:val="21"/>
          <w:szCs w:val="21"/>
          <w:highlight w:val="none"/>
        </w:rPr>
        <w:t>双方需签订补充协议。</w:t>
      </w:r>
    </w:p>
    <w:p w14:paraId="4CEB6EF5">
      <w:pPr>
        <w:keepNext w:val="0"/>
        <w:keepLines w:val="0"/>
        <w:pageBreakBefore w:val="0"/>
        <w:wordWrap/>
        <w:overflowPunct w:val="0"/>
        <w:topLinePunct w:val="0"/>
        <w:bidi w:val="0"/>
        <w:snapToGrid w:val="0"/>
        <w:spacing w:line="360" w:lineRule="auto"/>
        <w:ind w:firstLine="422" w:firstLineChars="200"/>
        <w:jc w:val="both"/>
        <w:rPr>
          <w:rFonts w:hint="eastAsia" w:ascii="仿宋" w:hAnsi="仿宋" w:eastAsia="仿宋" w:cs="仿宋"/>
          <w:b/>
          <w:color w:val="auto"/>
          <w:sz w:val="21"/>
          <w:szCs w:val="21"/>
          <w:highlight w:val="none"/>
        </w:rPr>
      </w:pPr>
      <w:bookmarkStart w:id="12" w:name="第十二条__解决合同纠纷的方式"/>
      <w:bookmarkEnd w:id="12"/>
      <w:r>
        <w:rPr>
          <w:rFonts w:hint="eastAsia" w:ascii="仿宋" w:hAnsi="仿宋" w:eastAsia="仿宋" w:cs="仿宋"/>
          <w:b/>
          <w:color w:val="auto"/>
          <w:sz w:val="21"/>
          <w:szCs w:val="21"/>
          <w:highlight w:val="none"/>
        </w:rPr>
        <w:t>第十二条</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解决合同纠纷的方式</w:t>
      </w:r>
    </w:p>
    <w:p w14:paraId="1D54313C">
      <w:pPr>
        <w:keepNext w:val="0"/>
        <w:keepLines w:val="0"/>
        <w:pageBreakBefore w:val="0"/>
        <w:wordWrap/>
        <w:overflowPunct w:val="0"/>
        <w:topLinePunct w:val="0"/>
        <w:bidi w:val="0"/>
        <w:snapToGrid w:val="0"/>
        <w:spacing w:line="360" w:lineRule="auto"/>
        <w:ind w:left="0" w:leftChars="0" w:firstLine="423" w:firstLineChars="307"/>
        <w:jc w:val="both"/>
        <w:rPr>
          <w:rFonts w:hint="eastAsia" w:ascii="仿宋" w:hAnsi="仿宋" w:eastAsia="仿宋" w:cs="仿宋"/>
          <w:color w:val="auto"/>
          <w:sz w:val="21"/>
          <w:szCs w:val="21"/>
          <w:highlight w:val="none"/>
        </w:rPr>
      </w:pPr>
      <w:r>
        <w:rPr>
          <w:rFonts w:hint="eastAsia" w:ascii="仿宋" w:hAnsi="仿宋" w:eastAsia="仿宋" w:cs="仿宋"/>
          <w:color w:val="auto"/>
          <w:spacing w:val="-36"/>
          <w:sz w:val="21"/>
          <w:szCs w:val="21"/>
          <w:highlight w:val="none"/>
        </w:rPr>
        <w:t>1</w:t>
      </w:r>
      <w:r>
        <w:rPr>
          <w:rFonts w:hint="eastAsia" w:ascii="仿宋" w:hAnsi="仿宋" w:eastAsia="仿宋" w:cs="仿宋"/>
          <w:color w:val="auto"/>
          <w:sz w:val="21"/>
          <w:szCs w:val="21"/>
          <w:highlight w:val="none"/>
        </w:rPr>
        <w:t>．在执行本合同中发生的或与本合同有关的争端，双方应通过友</w:t>
      </w:r>
      <w:r>
        <w:rPr>
          <w:rFonts w:hint="eastAsia" w:ascii="仿宋" w:hAnsi="仿宋" w:eastAsia="仿宋" w:cs="仿宋"/>
          <w:color w:val="auto"/>
          <w:spacing w:val="-4"/>
          <w:sz w:val="21"/>
          <w:szCs w:val="21"/>
          <w:highlight w:val="none"/>
        </w:rPr>
        <w:t>好协商解决，经协商在</w:t>
      </w:r>
      <w:r>
        <w:rPr>
          <w:rFonts w:hint="eastAsia" w:ascii="仿宋" w:hAnsi="仿宋" w:eastAsia="仿宋" w:cs="仿宋"/>
          <w:color w:val="auto"/>
          <w:spacing w:val="-4"/>
          <w:sz w:val="21"/>
          <w:szCs w:val="21"/>
          <w:highlight w:val="none"/>
          <w:u w:val="single"/>
          <w:lang w:val="en-US" w:eastAsia="zh-CN"/>
        </w:rPr>
        <w:t>30</w:t>
      </w:r>
      <w:r>
        <w:rPr>
          <w:rFonts w:hint="eastAsia" w:ascii="仿宋" w:hAnsi="仿宋" w:eastAsia="仿宋" w:cs="仿宋"/>
          <w:color w:val="auto"/>
          <w:spacing w:val="-3"/>
          <w:sz w:val="21"/>
          <w:szCs w:val="21"/>
          <w:highlight w:val="none"/>
        </w:rPr>
        <w:t>天内不能达成协议时，则采取以下第</w:t>
      </w:r>
      <w:r>
        <w:rPr>
          <w:rFonts w:hint="eastAsia" w:ascii="仿宋" w:hAnsi="仿宋" w:eastAsia="仿宋" w:cs="仿宋"/>
          <w:color w:val="auto"/>
          <w:spacing w:val="-3"/>
          <w:sz w:val="21"/>
          <w:szCs w:val="21"/>
          <w:highlight w:val="none"/>
          <w:u w:val="single"/>
        </w:rPr>
        <w:t xml:space="preserve"> </w:t>
      </w:r>
      <w:r>
        <w:rPr>
          <w:rFonts w:hint="eastAsia" w:ascii="仿宋" w:hAnsi="仿宋" w:eastAsia="仿宋" w:cs="仿宋"/>
          <w:color w:val="auto"/>
          <w:spacing w:val="-3"/>
          <w:sz w:val="21"/>
          <w:szCs w:val="21"/>
          <w:highlight w:val="none"/>
          <w:u w:val="single"/>
          <w:lang w:eastAsia="zh-CN"/>
        </w:rPr>
        <w:t>（</w:t>
      </w:r>
      <w:r>
        <w:rPr>
          <w:rFonts w:hint="eastAsia" w:ascii="仿宋" w:hAnsi="仿宋" w:eastAsia="仿宋" w:cs="仿宋"/>
          <w:color w:val="auto"/>
          <w:spacing w:val="-3"/>
          <w:sz w:val="21"/>
          <w:szCs w:val="21"/>
          <w:highlight w:val="none"/>
          <w:u w:val="single"/>
          <w:lang w:val="en-US" w:eastAsia="zh-CN"/>
        </w:rPr>
        <w:t>1</w:t>
      </w:r>
      <w:r>
        <w:rPr>
          <w:rFonts w:hint="eastAsia" w:ascii="仿宋" w:hAnsi="仿宋" w:eastAsia="仿宋" w:cs="仿宋"/>
          <w:color w:val="auto"/>
          <w:spacing w:val="-3"/>
          <w:sz w:val="21"/>
          <w:szCs w:val="21"/>
          <w:highlight w:val="none"/>
          <w:u w:val="single"/>
          <w:lang w:eastAsia="zh-CN"/>
        </w:rPr>
        <w:t>）</w:t>
      </w:r>
      <w:r>
        <w:rPr>
          <w:rFonts w:hint="eastAsia" w:ascii="仿宋" w:hAnsi="仿宋" w:eastAsia="仿宋" w:cs="仿宋"/>
          <w:color w:val="auto"/>
          <w:spacing w:val="-3"/>
          <w:sz w:val="21"/>
          <w:szCs w:val="21"/>
          <w:highlight w:val="none"/>
          <w:u w:val="single"/>
        </w:rPr>
        <w:t xml:space="preserve"> </w:t>
      </w:r>
      <w:r>
        <w:rPr>
          <w:rFonts w:hint="eastAsia" w:ascii="仿宋" w:hAnsi="仿宋" w:eastAsia="仿宋" w:cs="仿宋"/>
          <w:color w:val="auto"/>
          <w:spacing w:val="6"/>
          <w:sz w:val="21"/>
          <w:szCs w:val="21"/>
          <w:highlight w:val="none"/>
        </w:rPr>
        <w:t>种</w:t>
      </w:r>
      <w:r>
        <w:rPr>
          <w:rFonts w:hint="eastAsia" w:ascii="仿宋" w:hAnsi="仿宋" w:eastAsia="仿宋" w:cs="仿宋"/>
          <w:color w:val="auto"/>
          <w:spacing w:val="-1"/>
          <w:sz w:val="21"/>
          <w:szCs w:val="21"/>
          <w:highlight w:val="none"/>
        </w:rPr>
        <w:t>方式解决争议：</w:t>
      </w:r>
    </w:p>
    <w:p w14:paraId="3D95B0AF">
      <w:pPr>
        <w:pStyle w:val="17"/>
        <w:keepNext w:val="0"/>
        <w:keepLines w:val="0"/>
        <w:pageBreakBefore w:val="0"/>
        <w:widowControl w:val="0"/>
        <w:tabs>
          <w:tab w:val="left" w:pos="2142"/>
        </w:tabs>
        <w:kinsoku w:val="0"/>
        <w:wordWrap/>
        <w:overflowPunct w:val="0"/>
        <w:topLinePunct w:val="0"/>
        <w:autoSpaceDE w:val="0"/>
        <w:autoSpaceDN w:val="0"/>
        <w:bidi w:val="0"/>
        <w:adjustRightInd w:val="0"/>
        <w:snapToGrid w:val="0"/>
        <w:spacing w:line="360" w:lineRule="auto"/>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3"/>
          <w:sz w:val="21"/>
          <w:szCs w:val="21"/>
          <w:highlight w:val="none"/>
        </w:rPr>
        <w:t>（1）向甲方所在地有管辖权的人民法院提起诉讼；</w:t>
      </w:r>
    </w:p>
    <w:p w14:paraId="619AECDF">
      <w:pPr>
        <w:pStyle w:val="17"/>
        <w:keepNext w:val="0"/>
        <w:keepLines w:val="0"/>
        <w:pageBreakBefore w:val="0"/>
        <w:widowControl w:val="0"/>
        <w:tabs>
          <w:tab w:val="left" w:pos="2142"/>
        </w:tabs>
        <w:kinsoku w:val="0"/>
        <w:wordWrap/>
        <w:overflowPunct w:val="0"/>
        <w:topLinePunct w:val="0"/>
        <w:autoSpaceDE w:val="0"/>
        <w:autoSpaceDN w:val="0"/>
        <w:bidi w:val="0"/>
        <w:adjustRightInd w:val="0"/>
        <w:snapToGrid w:val="0"/>
        <w:spacing w:line="360" w:lineRule="auto"/>
        <w:jc w:val="both"/>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rPr>
        <w:t>（2）向西安仲裁委员会按其仲裁规则申请仲裁。</w:t>
      </w:r>
    </w:p>
    <w:p w14:paraId="04FB648B">
      <w:pPr>
        <w:pStyle w:val="17"/>
        <w:keepNext w:val="0"/>
        <w:keepLines w:val="0"/>
        <w:pageBreakBefore w:val="0"/>
        <w:widowControl w:val="0"/>
        <w:tabs>
          <w:tab w:val="left" w:pos="2142"/>
        </w:tabs>
        <w:kinsoku w:val="0"/>
        <w:wordWrap/>
        <w:overflowPunct w:val="0"/>
        <w:topLinePunct w:val="0"/>
        <w:autoSpaceDE w:val="0"/>
        <w:autoSpaceDN w:val="0"/>
        <w:bidi w:val="0"/>
        <w:adjustRightInd w:val="0"/>
        <w:snapToGrid w:val="0"/>
        <w:spacing w:line="360" w:lineRule="auto"/>
        <w:jc w:val="both"/>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rPr>
        <w:t>2．在仲裁期间，本合同应继续履行。</w:t>
      </w:r>
    </w:p>
    <w:p w14:paraId="3D0CDCE3">
      <w:pPr>
        <w:keepNext w:val="0"/>
        <w:keepLines w:val="0"/>
        <w:pageBreakBefore w:val="0"/>
        <w:wordWrap/>
        <w:overflowPunct w:val="0"/>
        <w:topLinePunct w:val="0"/>
        <w:bidi w:val="0"/>
        <w:snapToGrid w:val="0"/>
        <w:spacing w:line="360" w:lineRule="auto"/>
        <w:ind w:firstLine="422" w:firstLineChars="200"/>
        <w:jc w:val="both"/>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第十三条</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合同生效及其他</w:t>
      </w:r>
    </w:p>
    <w:p w14:paraId="1192940E">
      <w:pPr>
        <w:pStyle w:val="17"/>
        <w:keepNext w:val="0"/>
        <w:keepLines w:val="0"/>
        <w:pageBreakBefore w:val="0"/>
        <w:widowControl w:val="0"/>
        <w:tabs>
          <w:tab w:val="left" w:pos="1863"/>
        </w:tabs>
        <w:wordWrap/>
        <w:overflowPunct w:val="0"/>
        <w:topLinePunct w:val="0"/>
        <w:autoSpaceDE w:val="0"/>
        <w:autoSpaceDN w:val="0"/>
        <w:bidi w:val="0"/>
        <w:snapToGrid w:val="0"/>
        <w:spacing w:line="360" w:lineRule="auto"/>
        <w:jc w:val="both"/>
        <w:rPr>
          <w:rFonts w:hint="eastAsia" w:ascii="仿宋" w:hAnsi="仿宋" w:eastAsia="仿宋" w:cs="仿宋"/>
          <w:color w:val="auto"/>
          <w:sz w:val="21"/>
          <w:szCs w:val="21"/>
          <w:highlight w:val="none"/>
        </w:rPr>
      </w:pPr>
      <w:r>
        <w:rPr>
          <w:rFonts w:hint="eastAsia" w:ascii="仿宋" w:hAnsi="仿宋" w:eastAsia="仿宋" w:cs="仿宋"/>
          <w:color w:val="auto"/>
          <w:spacing w:val="-8"/>
          <w:sz w:val="21"/>
          <w:szCs w:val="21"/>
          <w:highlight w:val="none"/>
        </w:rPr>
        <w:t>1.合同经双方法定代表人</w:t>
      </w:r>
      <w:r>
        <w:rPr>
          <w:rFonts w:hint="eastAsia" w:ascii="仿宋" w:hAnsi="仿宋" w:eastAsia="仿宋" w:cs="仿宋"/>
          <w:color w:val="auto"/>
          <w:spacing w:val="-3"/>
          <w:sz w:val="21"/>
          <w:szCs w:val="21"/>
          <w:highlight w:val="none"/>
        </w:rPr>
        <w:t>（</w:t>
      </w:r>
      <w:r>
        <w:rPr>
          <w:rFonts w:hint="eastAsia" w:ascii="仿宋" w:hAnsi="仿宋" w:eastAsia="仿宋" w:cs="仿宋"/>
          <w:color w:val="auto"/>
          <w:spacing w:val="-2"/>
          <w:sz w:val="21"/>
          <w:szCs w:val="21"/>
          <w:highlight w:val="none"/>
        </w:rPr>
        <w:t>单位负责人</w:t>
      </w:r>
      <w:r>
        <w:rPr>
          <w:rFonts w:hint="eastAsia" w:ascii="仿宋" w:hAnsi="仿宋" w:eastAsia="仿宋" w:cs="仿宋"/>
          <w:color w:val="auto"/>
          <w:spacing w:val="-49"/>
          <w:sz w:val="21"/>
          <w:szCs w:val="21"/>
          <w:highlight w:val="none"/>
        </w:rPr>
        <w:t>）</w:t>
      </w:r>
      <w:r>
        <w:rPr>
          <w:rFonts w:hint="eastAsia" w:ascii="仿宋" w:hAnsi="仿宋" w:eastAsia="仿宋" w:cs="仿宋"/>
          <w:color w:val="auto"/>
          <w:spacing w:val="-3"/>
          <w:sz w:val="21"/>
          <w:szCs w:val="21"/>
          <w:highlight w:val="none"/>
        </w:rPr>
        <w:t>或授权委托代理人签名并加盖单位公章后生效。</w:t>
      </w:r>
    </w:p>
    <w:p w14:paraId="466FFEB1">
      <w:pPr>
        <w:pStyle w:val="17"/>
        <w:keepNext w:val="0"/>
        <w:keepLines w:val="0"/>
        <w:pageBreakBefore w:val="0"/>
        <w:widowControl w:val="0"/>
        <w:tabs>
          <w:tab w:val="left" w:pos="1863"/>
        </w:tabs>
        <w:wordWrap/>
        <w:overflowPunct w:val="0"/>
        <w:topLinePunct w:val="0"/>
        <w:autoSpaceDE w:val="0"/>
        <w:autoSpaceDN w:val="0"/>
        <w:bidi w:val="0"/>
        <w:snapToGrid w:val="0"/>
        <w:spacing w:line="360" w:lineRule="auto"/>
        <w:ind w:left="0" w:leftChars="0" w:firstLine="396"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2.合同执行中涉及采购资金和采购内容修改或补充的，须经政府</w:t>
      </w:r>
      <w:r>
        <w:rPr>
          <w:rFonts w:hint="eastAsia" w:ascii="仿宋" w:hAnsi="仿宋" w:eastAsia="仿宋" w:cs="仿宋"/>
          <w:color w:val="auto"/>
          <w:spacing w:val="-14"/>
          <w:sz w:val="21"/>
          <w:szCs w:val="21"/>
          <w:highlight w:val="none"/>
        </w:rPr>
        <w:t>采购监管部门审批，并签书面补充协议报政府采购监督管理部门备案，</w:t>
      </w:r>
      <w:r>
        <w:rPr>
          <w:rFonts w:hint="eastAsia" w:ascii="仿宋" w:hAnsi="仿宋" w:eastAsia="仿宋" w:cs="仿宋"/>
          <w:color w:val="auto"/>
          <w:spacing w:val="-5"/>
          <w:sz w:val="21"/>
          <w:szCs w:val="21"/>
          <w:highlight w:val="none"/>
        </w:rPr>
        <w:t>方可作为主合同不可分割的一部分。</w:t>
      </w:r>
    </w:p>
    <w:p w14:paraId="6A96DD73">
      <w:pPr>
        <w:pStyle w:val="17"/>
        <w:keepNext w:val="0"/>
        <w:keepLines w:val="0"/>
        <w:pageBreakBefore w:val="0"/>
        <w:widowControl w:val="0"/>
        <w:tabs>
          <w:tab w:val="left" w:pos="1863"/>
        </w:tabs>
        <w:wordWrap/>
        <w:overflowPunct w:val="0"/>
        <w:topLinePunct w:val="0"/>
        <w:autoSpaceDE w:val="0"/>
        <w:autoSpaceDN w:val="0"/>
        <w:bidi w:val="0"/>
        <w:snapToGrid w:val="0"/>
        <w:spacing w:line="360" w:lineRule="auto"/>
        <w:jc w:val="both"/>
        <w:rPr>
          <w:rFonts w:hint="eastAsia" w:ascii="仿宋" w:hAnsi="仿宋" w:eastAsia="仿宋" w:cs="仿宋"/>
          <w:color w:val="auto"/>
          <w:sz w:val="21"/>
          <w:szCs w:val="21"/>
          <w:highlight w:val="none"/>
        </w:rPr>
      </w:pPr>
      <w:r>
        <w:rPr>
          <w:rFonts w:hint="eastAsia" w:ascii="仿宋" w:hAnsi="仿宋" w:eastAsia="仿宋" w:cs="仿宋"/>
          <w:color w:val="auto"/>
          <w:spacing w:val="-12"/>
          <w:sz w:val="21"/>
          <w:szCs w:val="21"/>
          <w:highlight w:val="none"/>
        </w:rPr>
        <w:t>3.本合同一式陆份，自双方签章之日起起效。甲方</w:t>
      </w:r>
      <w:r>
        <w:rPr>
          <w:rFonts w:hint="eastAsia" w:ascii="仿宋" w:hAnsi="仿宋" w:eastAsia="仿宋" w:cs="仿宋"/>
          <w:color w:val="auto"/>
          <w:spacing w:val="-12"/>
          <w:sz w:val="21"/>
          <w:szCs w:val="21"/>
          <w:highlight w:val="none"/>
          <w:u w:val="single"/>
          <w:lang w:val="en-US" w:eastAsia="zh-CN"/>
        </w:rPr>
        <w:t>叁</w:t>
      </w:r>
      <w:r>
        <w:rPr>
          <w:rFonts w:hint="eastAsia" w:ascii="仿宋" w:hAnsi="仿宋" w:eastAsia="仿宋" w:cs="仿宋"/>
          <w:color w:val="auto"/>
          <w:spacing w:val="-12"/>
          <w:sz w:val="21"/>
          <w:szCs w:val="21"/>
          <w:highlight w:val="none"/>
        </w:rPr>
        <w:t xml:space="preserve">份，乙方 </w:t>
      </w:r>
      <w:r>
        <w:rPr>
          <w:rFonts w:hint="eastAsia" w:ascii="仿宋" w:hAnsi="仿宋" w:eastAsia="仿宋" w:cs="仿宋"/>
          <w:color w:val="auto"/>
          <w:spacing w:val="-3"/>
          <w:sz w:val="21"/>
          <w:szCs w:val="21"/>
          <w:highlight w:val="none"/>
          <w:u w:val="single"/>
        </w:rPr>
        <w:t>贰</w:t>
      </w:r>
      <w:r>
        <w:rPr>
          <w:rFonts w:hint="eastAsia" w:ascii="仿宋" w:hAnsi="仿宋" w:eastAsia="仿宋" w:cs="仿宋"/>
          <w:color w:val="auto"/>
          <w:spacing w:val="-3"/>
          <w:sz w:val="21"/>
          <w:szCs w:val="21"/>
          <w:highlight w:val="none"/>
        </w:rPr>
        <w:t>份，同级财政部门备案</w:t>
      </w:r>
      <w:r>
        <w:rPr>
          <w:rFonts w:hint="eastAsia" w:ascii="仿宋" w:hAnsi="仿宋" w:eastAsia="仿宋" w:cs="仿宋"/>
          <w:color w:val="auto"/>
          <w:spacing w:val="-3"/>
          <w:sz w:val="21"/>
          <w:szCs w:val="21"/>
          <w:highlight w:val="none"/>
          <w:u w:val="single"/>
        </w:rPr>
        <w:t>壹份</w:t>
      </w:r>
      <w:r>
        <w:rPr>
          <w:rFonts w:hint="eastAsia" w:ascii="仿宋" w:hAnsi="仿宋" w:eastAsia="仿宋" w:cs="仿宋"/>
          <w:color w:val="auto"/>
          <w:spacing w:val="-3"/>
          <w:sz w:val="21"/>
          <w:szCs w:val="21"/>
          <w:highlight w:val="none"/>
        </w:rPr>
        <w:t>，具有同等法律效力。</w:t>
      </w:r>
    </w:p>
    <w:p w14:paraId="7E453B81">
      <w:pPr>
        <w:keepNext w:val="0"/>
        <w:keepLines w:val="0"/>
        <w:pageBreakBefore w:val="0"/>
        <w:wordWrap/>
        <w:overflowPunct w:val="0"/>
        <w:topLinePunct w:val="0"/>
        <w:bidi w:val="0"/>
        <w:snapToGrid w:val="0"/>
        <w:spacing w:line="360" w:lineRule="auto"/>
        <w:ind w:firstLine="422" w:firstLineChars="200"/>
        <w:jc w:val="both"/>
        <w:rPr>
          <w:rFonts w:hint="eastAsia" w:ascii="仿宋" w:hAnsi="仿宋" w:eastAsia="仿宋" w:cs="仿宋"/>
          <w:b/>
          <w:color w:val="auto"/>
          <w:sz w:val="21"/>
          <w:szCs w:val="21"/>
          <w:highlight w:val="none"/>
        </w:rPr>
      </w:pPr>
      <w:bookmarkStart w:id="13" w:name="第十四条__补充协议内容"/>
      <w:bookmarkEnd w:id="13"/>
      <w:r>
        <w:rPr>
          <w:rFonts w:hint="eastAsia" w:ascii="仿宋" w:hAnsi="仿宋" w:eastAsia="仿宋" w:cs="仿宋"/>
          <w:b/>
          <w:color w:val="auto"/>
          <w:sz w:val="21"/>
          <w:szCs w:val="21"/>
          <w:highlight w:val="none"/>
        </w:rPr>
        <w:t>第十四条 补充协议内容</w:t>
      </w:r>
    </w:p>
    <w:p w14:paraId="227D6498">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当乙方出现严重违章作业、野蛮操作、管理混乱等，安全、文明作业严重失控情况下，甲方有权做出停工整顿，限期整改、责令乙方退出作业现场，直到解除承包合同的决定。</w:t>
      </w:r>
    </w:p>
    <w:p w14:paraId="1D2C6CF6">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乙方主要负责人应依法对本单位的安全生产工作全面负责。并</w:t>
      </w:r>
      <w:r>
        <w:rPr>
          <w:rFonts w:hint="eastAsia" w:ascii="仿宋" w:hAnsi="仿宋" w:eastAsia="仿宋" w:cs="仿宋"/>
          <w:color w:val="auto"/>
          <w:spacing w:val="-3"/>
          <w:sz w:val="21"/>
          <w:szCs w:val="21"/>
          <w:highlight w:val="none"/>
        </w:rPr>
        <w:t>根据工作特点制定安全措施，消除安全事故隐患，及时、如实报告安</w:t>
      </w:r>
      <w:r>
        <w:rPr>
          <w:rFonts w:hint="eastAsia" w:ascii="仿宋" w:hAnsi="仿宋" w:eastAsia="仿宋" w:cs="仿宋"/>
          <w:color w:val="auto"/>
          <w:spacing w:val="-2"/>
          <w:sz w:val="21"/>
          <w:szCs w:val="21"/>
          <w:highlight w:val="none"/>
        </w:rPr>
        <w:t>全事故。</w:t>
      </w:r>
    </w:p>
    <w:p w14:paraId="30B34996">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乙方应配备专职或兼职的安全管理人员，负责对安全生产进行现场监督检查。发现安全隐患，应当及时报告；对违章指挥、违章操作的应立即制止。</w:t>
      </w:r>
    </w:p>
    <w:p w14:paraId="1E619E7A">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乙方应当向作业人员提供安全防护用具和安全防护服装，并告</w:t>
      </w:r>
      <w:r>
        <w:rPr>
          <w:rFonts w:hint="eastAsia" w:ascii="仿宋" w:hAnsi="仿宋" w:eastAsia="仿宋" w:cs="仿宋"/>
          <w:color w:val="auto"/>
          <w:spacing w:val="-5"/>
          <w:sz w:val="21"/>
          <w:szCs w:val="21"/>
          <w:highlight w:val="none"/>
        </w:rPr>
        <w:t>知危险岗位的操作规程和违章操作的危害。</w:t>
      </w:r>
    </w:p>
    <w:p w14:paraId="29F6C4E0">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乙方要做好防盗、防鼠等工作。</w:t>
      </w:r>
    </w:p>
    <w:p w14:paraId="7A9094BD">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乙方使用的餐具、清洁用品应符合国家、地方的有关环境保护</w:t>
      </w:r>
      <w:r>
        <w:rPr>
          <w:rFonts w:hint="eastAsia" w:ascii="仿宋" w:hAnsi="仿宋" w:eastAsia="仿宋" w:cs="仿宋"/>
          <w:color w:val="auto"/>
          <w:spacing w:val="-5"/>
          <w:sz w:val="21"/>
          <w:szCs w:val="21"/>
          <w:highlight w:val="none"/>
        </w:rPr>
        <w:t>的法律、法规要求。</w:t>
      </w:r>
    </w:p>
    <w:p w14:paraId="41E03851">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乙方</w:t>
      </w:r>
      <w:r>
        <w:rPr>
          <w:rFonts w:hint="eastAsia" w:ascii="仿宋" w:hAnsi="仿宋" w:eastAsia="仿宋" w:cs="仿宋"/>
          <w:color w:val="auto"/>
          <w:sz w:val="21"/>
          <w:szCs w:val="21"/>
          <w:highlight w:val="none"/>
          <w:lang w:val="en-US" w:eastAsia="zh-CN"/>
        </w:rPr>
        <w:t>应本着节约的原则，</w:t>
      </w:r>
      <w:r>
        <w:rPr>
          <w:rFonts w:hint="eastAsia" w:ascii="仿宋" w:hAnsi="仿宋" w:eastAsia="仿宋" w:cs="仿宋"/>
          <w:color w:val="auto"/>
          <w:sz w:val="21"/>
          <w:szCs w:val="21"/>
          <w:highlight w:val="none"/>
        </w:rPr>
        <w:t>在工作过程中</w:t>
      </w:r>
      <w:r>
        <w:rPr>
          <w:rFonts w:hint="eastAsia" w:ascii="仿宋" w:hAnsi="仿宋" w:eastAsia="仿宋" w:cs="仿宋"/>
          <w:color w:val="auto"/>
          <w:sz w:val="21"/>
          <w:szCs w:val="21"/>
          <w:highlight w:val="none"/>
          <w:lang w:val="en-US" w:eastAsia="zh-CN"/>
        </w:rPr>
        <w:t>节</w:t>
      </w:r>
      <w:r>
        <w:rPr>
          <w:rFonts w:hint="eastAsia" w:ascii="仿宋" w:hAnsi="仿宋" w:eastAsia="仿宋" w:cs="仿宋"/>
          <w:color w:val="auto"/>
          <w:sz w:val="21"/>
          <w:szCs w:val="21"/>
          <w:highlight w:val="none"/>
        </w:rPr>
        <w:t>水</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节</w:t>
      </w:r>
      <w:r>
        <w:rPr>
          <w:rFonts w:hint="eastAsia" w:ascii="仿宋" w:hAnsi="仿宋" w:eastAsia="仿宋" w:cs="仿宋"/>
          <w:color w:val="auto"/>
          <w:sz w:val="21"/>
          <w:szCs w:val="21"/>
          <w:highlight w:val="none"/>
        </w:rPr>
        <w:t>电，</w:t>
      </w:r>
      <w:r>
        <w:rPr>
          <w:rFonts w:hint="eastAsia" w:ascii="仿宋" w:hAnsi="仿宋" w:eastAsia="仿宋" w:cs="仿宋"/>
          <w:color w:val="auto"/>
          <w:sz w:val="21"/>
          <w:szCs w:val="21"/>
          <w:highlight w:val="none"/>
          <w:lang w:val="en-US" w:eastAsia="zh-CN"/>
        </w:rPr>
        <w:t>节气降低服务成本，防止发生火灾和资源浪费，配合甲方做好“节约型机关”创建及反食品浪费相关工作，努力建设“健康食堂”“绿色食堂”。</w:t>
      </w:r>
    </w:p>
    <w:p w14:paraId="47F8FA77">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乙方在供餐过程中，应防止灰尘、蚊蝇等污染环境。</w:t>
      </w:r>
    </w:p>
    <w:p w14:paraId="71633BA7">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9</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乙方应当为服务人员办理意外伤害保险，并支付意外保险伤害</w:t>
      </w:r>
      <w:r>
        <w:rPr>
          <w:rFonts w:hint="eastAsia" w:ascii="仿宋" w:hAnsi="仿宋" w:eastAsia="仿宋" w:cs="仿宋"/>
          <w:color w:val="auto"/>
          <w:spacing w:val="-5"/>
          <w:sz w:val="21"/>
          <w:szCs w:val="21"/>
          <w:highlight w:val="none"/>
        </w:rPr>
        <w:t>保险费。</w:t>
      </w:r>
    </w:p>
    <w:p w14:paraId="3E724211">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乙方人员必须做到相对稳定，如没有按照有关规定登记，注册、持有健康证者，一律不准上岗，擅自增加或调换人员，一旦发生事故由乙方负责，一切损失自负。</w:t>
      </w:r>
    </w:p>
    <w:p w14:paraId="3D92A1C0">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乙方对违反上述条款内容所造成的一切后果自行负责。</w:t>
      </w:r>
    </w:p>
    <w:p w14:paraId="7015CD45">
      <w:pPr>
        <w:pStyle w:val="2"/>
        <w:keepNext w:val="0"/>
        <w:keepLines w:val="0"/>
        <w:pageBreakBefore w:val="0"/>
        <w:tabs>
          <w:tab w:val="left" w:pos="567"/>
        </w:tabs>
        <w:wordWrap/>
        <w:overflowPunct w:val="0"/>
        <w:topLinePunct w:val="0"/>
        <w:bidi w:val="0"/>
        <w:snapToGrid w:val="0"/>
        <w:spacing w:line="360" w:lineRule="auto"/>
        <w:ind w:firstLine="416"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pacing w:val="-1"/>
          <w:sz w:val="21"/>
          <w:szCs w:val="21"/>
          <w:highlight w:val="none"/>
        </w:rPr>
        <w:t>12</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发生重大伤亡及其他安全事故，乙方应按有关规定立即上报有关部门并通知甲方，同时按政府有关部门要求处理，由事故责任方</w:t>
      </w:r>
      <w:r>
        <w:rPr>
          <w:rFonts w:hint="eastAsia" w:ascii="仿宋" w:hAnsi="仿宋" w:eastAsia="仿宋" w:cs="仿宋"/>
          <w:color w:val="auto"/>
          <w:spacing w:val="-12"/>
          <w:sz w:val="21"/>
          <w:szCs w:val="21"/>
          <w:highlight w:val="none"/>
        </w:rPr>
        <w:t>承担发生的费用。委托方及受委托方对事故责任有争议时，应按政府</w:t>
      </w:r>
      <w:r>
        <w:rPr>
          <w:rFonts w:hint="eastAsia" w:ascii="仿宋" w:hAnsi="仿宋" w:eastAsia="仿宋" w:cs="仿宋"/>
          <w:color w:val="auto"/>
          <w:spacing w:val="-5"/>
          <w:sz w:val="21"/>
          <w:szCs w:val="21"/>
          <w:highlight w:val="none"/>
        </w:rPr>
        <w:t>有关部门的认定处理。</w:t>
      </w:r>
    </w:p>
    <w:p w14:paraId="7BFB7A69">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13</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对各级部门检查出的不安全隐患及整改通知单，应及时消除整改，如有违反造成事故，一切责任和经济损失由乙方负责。</w:t>
      </w:r>
    </w:p>
    <w:p w14:paraId="60211C5A">
      <w:pPr>
        <w:keepNext w:val="0"/>
        <w:keepLines w:val="0"/>
        <w:pageBreakBefore w:val="0"/>
        <w:wordWrap/>
        <w:overflowPunct w:val="0"/>
        <w:topLinePunct w:val="0"/>
        <w:bidi w:val="0"/>
        <w:snapToGrid w:val="0"/>
        <w:spacing w:line="360" w:lineRule="auto"/>
        <w:ind w:firstLine="422" w:firstLineChars="200"/>
        <w:jc w:val="both"/>
        <w:rPr>
          <w:rFonts w:hint="eastAsia" w:ascii="仿宋" w:hAnsi="仿宋" w:eastAsia="仿宋" w:cs="仿宋"/>
          <w:b/>
          <w:color w:val="auto"/>
          <w:sz w:val="21"/>
          <w:szCs w:val="21"/>
          <w:highlight w:val="none"/>
        </w:rPr>
      </w:pPr>
      <w:bookmarkStart w:id="14" w:name="第十五条__附件"/>
      <w:bookmarkEnd w:id="14"/>
      <w:r>
        <w:rPr>
          <w:rFonts w:hint="eastAsia" w:ascii="仿宋" w:hAnsi="仿宋" w:eastAsia="仿宋" w:cs="仿宋"/>
          <w:b/>
          <w:color w:val="auto"/>
          <w:sz w:val="21"/>
          <w:szCs w:val="21"/>
          <w:highlight w:val="none"/>
        </w:rPr>
        <w:t>第十五条   附件</w:t>
      </w:r>
    </w:p>
    <w:p w14:paraId="4800630D">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rPr>
        <w:t>项目招标文件</w:t>
      </w:r>
    </w:p>
    <w:p w14:paraId="39F0DABA">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2.项目修改澄清文件</w:t>
      </w:r>
    </w:p>
    <w:p w14:paraId="6567C578">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3.项目投标文件</w:t>
      </w:r>
    </w:p>
    <w:p w14:paraId="0C57960C">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4.成交通知书</w:t>
      </w:r>
    </w:p>
    <w:p w14:paraId="007E382F">
      <w:pPr>
        <w:pStyle w:val="2"/>
        <w:keepNext w:val="0"/>
        <w:keepLines w:val="0"/>
        <w:pageBreakBefore w:val="0"/>
        <w:tabs>
          <w:tab w:val="left" w:pos="567"/>
        </w:tabs>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5.其他</w:t>
      </w:r>
    </w:p>
    <w:p w14:paraId="76BE0EB7">
      <w:pPr>
        <w:keepNext w:val="0"/>
        <w:keepLines w:val="0"/>
        <w:pageBreakBefore w:val="0"/>
        <w:wordWrap/>
        <w:overflowPunct w:val="0"/>
        <w:topLinePunct w:val="0"/>
        <w:bidi w:val="0"/>
        <w:snapToGrid w:val="0"/>
        <w:spacing w:line="360" w:lineRule="auto"/>
        <w:ind w:firstLine="420" w:firstLineChars="200"/>
        <w:jc w:val="both"/>
        <w:rPr>
          <w:rFonts w:hint="eastAsia" w:ascii="仿宋" w:hAnsi="仿宋" w:eastAsia="仿宋" w:cs="仿宋"/>
          <w:color w:val="auto"/>
          <w:sz w:val="21"/>
          <w:szCs w:val="21"/>
          <w:highlight w:val="none"/>
        </w:rPr>
      </w:pPr>
    </w:p>
    <w:tbl>
      <w:tblPr>
        <w:tblStyle w:val="11"/>
        <w:tblpPr w:leftFromText="180" w:rightFromText="180" w:vertAnchor="text" w:horzAnchor="page" w:tblpX="1787" w:tblpY="264"/>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343"/>
        <w:gridCol w:w="4179"/>
      </w:tblGrid>
      <w:tr w14:paraId="73F70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3" w:hRule="atLeast"/>
        </w:trPr>
        <w:tc>
          <w:tcPr>
            <w:tcW w:w="4343" w:type="dxa"/>
            <w:noWrap w:val="0"/>
            <w:vAlign w:val="center"/>
          </w:tcPr>
          <w:p w14:paraId="20296F37">
            <w:pPr>
              <w:keepNext w:val="0"/>
              <w:keepLines w:val="0"/>
              <w:pageBreakBefore w:val="0"/>
              <w:wordWrap/>
              <w:topLinePunct w:val="0"/>
              <w:autoSpaceDE/>
              <w:autoSpaceDN/>
              <w:bidi w:val="0"/>
              <w:snapToGrid w:val="0"/>
              <w:spacing w:line="36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采购人：</w:t>
            </w:r>
            <w:r>
              <w:rPr>
                <w:rFonts w:hint="eastAsia" w:ascii="仿宋" w:hAnsi="仿宋" w:eastAsia="仿宋" w:cs="仿宋"/>
                <w:b/>
                <w:color w:val="auto"/>
                <w:sz w:val="21"/>
                <w:szCs w:val="21"/>
                <w:highlight w:val="none"/>
                <w:u w:val="single"/>
              </w:rPr>
              <w:t xml:space="preserve"> </w:t>
            </w:r>
            <w:r>
              <w:rPr>
                <w:rFonts w:hint="eastAsia" w:ascii="仿宋" w:hAnsi="仿宋" w:eastAsia="仿宋" w:cs="仿宋"/>
                <w:b/>
                <w:color w:val="auto"/>
                <w:sz w:val="21"/>
                <w:szCs w:val="21"/>
                <w:highlight w:val="none"/>
                <w:u w:val="single"/>
                <w:lang w:val="en-US" w:eastAsia="zh-CN"/>
              </w:rPr>
              <w:t xml:space="preserve">                    </w:t>
            </w:r>
            <w:r>
              <w:rPr>
                <w:rFonts w:hint="eastAsia" w:ascii="仿宋" w:hAnsi="仿宋" w:eastAsia="仿宋" w:cs="仿宋"/>
                <w:b w:val="0"/>
                <w:bCs/>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val="en-US" w:eastAsia="zh-CN"/>
              </w:rPr>
              <w:t xml:space="preserve">   </w:t>
            </w:r>
          </w:p>
        </w:tc>
        <w:tc>
          <w:tcPr>
            <w:tcW w:w="4179" w:type="dxa"/>
            <w:noWrap w:val="0"/>
            <w:vAlign w:val="center"/>
          </w:tcPr>
          <w:p w14:paraId="7EA18395">
            <w:pPr>
              <w:keepNext w:val="0"/>
              <w:keepLines w:val="0"/>
              <w:pageBreakBefore w:val="0"/>
              <w:wordWrap/>
              <w:topLinePunct w:val="0"/>
              <w:autoSpaceDE/>
              <w:autoSpaceDN/>
              <w:bidi w:val="0"/>
              <w:snapToGrid w:val="0"/>
              <w:spacing w:line="36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供应商：</w:t>
            </w:r>
            <w:r>
              <w:rPr>
                <w:rFonts w:hint="eastAsia" w:ascii="仿宋" w:hAnsi="仿宋" w:eastAsia="仿宋" w:cs="仿宋"/>
                <w:b/>
                <w:color w:val="auto"/>
                <w:sz w:val="21"/>
                <w:szCs w:val="21"/>
                <w:highlight w:val="none"/>
                <w:u w:val="single"/>
              </w:rPr>
              <w:t xml:space="preserve"> </w:t>
            </w:r>
            <w:r>
              <w:rPr>
                <w:rFonts w:hint="eastAsia" w:ascii="仿宋" w:hAnsi="仿宋" w:eastAsia="仿宋" w:cs="仿宋"/>
                <w:b/>
                <w:color w:val="auto"/>
                <w:sz w:val="21"/>
                <w:szCs w:val="21"/>
                <w:highlight w:val="none"/>
                <w:u w:val="single"/>
                <w:lang w:val="en-US" w:eastAsia="zh-CN"/>
              </w:rPr>
              <w:t xml:space="preserve">                    </w:t>
            </w:r>
            <w:r>
              <w:rPr>
                <w:rFonts w:hint="eastAsia" w:ascii="仿宋" w:hAnsi="仿宋" w:eastAsia="仿宋" w:cs="仿宋"/>
                <w:b w:val="0"/>
                <w:bCs/>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val="en-US" w:eastAsia="zh-CN"/>
              </w:rPr>
              <w:t xml:space="preserve">   </w:t>
            </w:r>
          </w:p>
        </w:tc>
      </w:tr>
      <w:tr w14:paraId="6B294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43" w:type="dxa"/>
            <w:noWrap w:val="0"/>
            <w:vAlign w:val="center"/>
          </w:tcPr>
          <w:p w14:paraId="2E2294A4">
            <w:pPr>
              <w:keepNext w:val="0"/>
              <w:keepLines w:val="0"/>
              <w:pageBreakBefore w:val="0"/>
              <w:wordWrap/>
              <w:topLinePunct w:val="0"/>
              <w:autoSpaceDE/>
              <w:autoSpaceDN/>
              <w:bidi w:val="0"/>
              <w:snapToGrid w:val="0"/>
              <w:spacing w:line="36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地  址：</w:t>
            </w:r>
            <w:r>
              <w:rPr>
                <w:rFonts w:hint="eastAsia" w:ascii="仿宋" w:hAnsi="仿宋" w:eastAsia="仿宋" w:cs="仿宋"/>
                <w:b/>
                <w:color w:val="auto"/>
                <w:sz w:val="21"/>
                <w:szCs w:val="21"/>
                <w:highlight w:val="none"/>
                <w:u w:val="single"/>
              </w:rPr>
              <w:t xml:space="preserve"> </w:t>
            </w:r>
            <w:r>
              <w:rPr>
                <w:rFonts w:hint="eastAsia" w:ascii="仿宋" w:hAnsi="仿宋" w:eastAsia="仿宋" w:cs="仿宋"/>
                <w:b/>
                <w:color w:val="auto"/>
                <w:sz w:val="21"/>
                <w:szCs w:val="21"/>
                <w:highlight w:val="none"/>
                <w:u w:val="single"/>
                <w:lang w:val="en-US" w:eastAsia="zh-CN"/>
              </w:rPr>
              <w:t xml:space="preserve">                    </w:t>
            </w:r>
            <w:r>
              <w:rPr>
                <w:rFonts w:hint="eastAsia" w:ascii="仿宋" w:hAnsi="仿宋" w:eastAsia="仿宋" w:cs="仿宋"/>
                <w:b w:val="0"/>
                <w:bCs/>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val="en-US" w:eastAsia="zh-CN"/>
              </w:rPr>
              <w:t xml:space="preserve">   </w:t>
            </w:r>
          </w:p>
        </w:tc>
        <w:tc>
          <w:tcPr>
            <w:tcW w:w="4179" w:type="dxa"/>
            <w:noWrap w:val="0"/>
            <w:vAlign w:val="center"/>
          </w:tcPr>
          <w:p w14:paraId="7D8CEA7B">
            <w:pPr>
              <w:keepNext w:val="0"/>
              <w:keepLines w:val="0"/>
              <w:pageBreakBefore w:val="0"/>
              <w:wordWrap/>
              <w:topLinePunct w:val="0"/>
              <w:autoSpaceDE/>
              <w:autoSpaceDN/>
              <w:bidi w:val="0"/>
              <w:snapToGrid w:val="0"/>
              <w:spacing w:line="36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地  址：</w:t>
            </w:r>
            <w:r>
              <w:rPr>
                <w:rFonts w:hint="eastAsia" w:ascii="仿宋" w:hAnsi="仿宋" w:eastAsia="仿宋" w:cs="仿宋"/>
                <w:b/>
                <w:color w:val="auto"/>
                <w:sz w:val="21"/>
                <w:szCs w:val="21"/>
                <w:highlight w:val="none"/>
                <w:u w:val="single"/>
              </w:rPr>
              <w:t xml:space="preserve"> </w:t>
            </w:r>
            <w:r>
              <w:rPr>
                <w:rFonts w:hint="eastAsia" w:ascii="仿宋" w:hAnsi="仿宋" w:eastAsia="仿宋" w:cs="仿宋"/>
                <w:b/>
                <w:color w:val="auto"/>
                <w:sz w:val="21"/>
                <w:szCs w:val="21"/>
                <w:highlight w:val="none"/>
                <w:u w:val="single"/>
                <w:lang w:val="en-US" w:eastAsia="zh-CN"/>
              </w:rPr>
              <w:t xml:space="preserve">                    </w:t>
            </w:r>
            <w:r>
              <w:rPr>
                <w:rFonts w:hint="eastAsia" w:ascii="仿宋" w:hAnsi="仿宋" w:eastAsia="仿宋" w:cs="仿宋"/>
                <w:b w:val="0"/>
                <w:bCs/>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val="en-US" w:eastAsia="zh-CN"/>
              </w:rPr>
              <w:t xml:space="preserve">   </w:t>
            </w:r>
          </w:p>
        </w:tc>
      </w:tr>
      <w:tr w14:paraId="24FE3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43" w:type="dxa"/>
            <w:noWrap w:val="0"/>
            <w:vAlign w:val="center"/>
          </w:tcPr>
          <w:p w14:paraId="360FC472">
            <w:pPr>
              <w:keepNext w:val="0"/>
              <w:keepLines w:val="0"/>
              <w:pageBreakBefore w:val="0"/>
              <w:wordWrap/>
              <w:topLinePunct w:val="0"/>
              <w:autoSpaceDE/>
              <w:autoSpaceDN/>
              <w:bidi w:val="0"/>
              <w:snapToGrid w:val="0"/>
              <w:spacing w:line="36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邮政编码：</w:t>
            </w:r>
            <w:r>
              <w:rPr>
                <w:rFonts w:hint="eastAsia" w:ascii="仿宋" w:hAnsi="仿宋" w:eastAsia="仿宋" w:cs="仿宋"/>
                <w:b/>
                <w:color w:val="auto"/>
                <w:sz w:val="21"/>
                <w:szCs w:val="21"/>
                <w:highlight w:val="none"/>
                <w:u w:val="single"/>
              </w:rPr>
              <w:t xml:space="preserve"> </w:t>
            </w:r>
            <w:r>
              <w:rPr>
                <w:rFonts w:hint="eastAsia" w:ascii="仿宋" w:hAnsi="仿宋" w:eastAsia="仿宋" w:cs="仿宋"/>
                <w:b/>
                <w:color w:val="auto"/>
                <w:sz w:val="21"/>
                <w:szCs w:val="21"/>
                <w:highlight w:val="none"/>
                <w:u w:val="single"/>
                <w:lang w:val="en-US" w:eastAsia="zh-CN"/>
              </w:rPr>
              <w:t xml:space="preserve">                    </w:t>
            </w:r>
            <w:r>
              <w:rPr>
                <w:rFonts w:hint="eastAsia" w:ascii="仿宋" w:hAnsi="仿宋" w:eastAsia="仿宋" w:cs="仿宋"/>
                <w:b w:val="0"/>
                <w:bCs/>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val="en-US" w:eastAsia="zh-CN"/>
              </w:rPr>
              <w:t xml:space="preserve"> </w:t>
            </w:r>
          </w:p>
        </w:tc>
        <w:tc>
          <w:tcPr>
            <w:tcW w:w="4179" w:type="dxa"/>
            <w:noWrap w:val="0"/>
            <w:vAlign w:val="center"/>
          </w:tcPr>
          <w:p w14:paraId="1B60A3E6">
            <w:pPr>
              <w:keepNext w:val="0"/>
              <w:keepLines w:val="0"/>
              <w:pageBreakBefore w:val="0"/>
              <w:wordWrap/>
              <w:topLinePunct w:val="0"/>
              <w:autoSpaceDE/>
              <w:autoSpaceDN/>
              <w:bidi w:val="0"/>
              <w:snapToGrid w:val="0"/>
              <w:spacing w:line="36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邮政编码：</w:t>
            </w:r>
            <w:r>
              <w:rPr>
                <w:rFonts w:hint="eastAsia" w:ascii="仿宋" w:hAnsi="仿宋" w:eastAsia="仿宋" w:cs="仿宋"/>
                <w:b/>
                <w:color w:val="auto"/>
                <w:sz w:val="21"/>
                <w:szCs w:val="21"/>
                <w:highlight w:val="none"/>
                <w:u w:val="single"/>
              </w:rPr>
              <w:t xml:space="preserve"> </w:t>
            </w:r>
            <w:r>
              <w:rPr>
                <w:rFonts w:hint="eastAsia" w:ascii="仿宋" w:hAnsi="仿宋" w:eastAsia="仿宋" w:cs="仿宋"/>
                <w:b/>
                <w:color w:val="auto"/>
                <w:sz w:val="21"/>
                <w:szCs w:val="21"/>
                <w:highlight w:val="none"/>
                <w:u w:val="single"/>
                <w:lang w:val="en-US" w:eastAsia="zh-CN"/>
              </w:rPr>
              <w:t xml:space="preserve">                    </w:t>
            </w:r>
            <w:r>
              <w:rPr>
                <w:rFonts w:hint="eastAsia" w:ascii="仿宋" w:hAnsi="仿宋" w:eastAsia="仿宋" w:cs="仿宋"/>
                <w:b w:val="0"/>
                <w:bCs/>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val="en-US" w:eastAsia="zh-CN"/>
              </w:rPr>
              <w:t xml:space="preserve"> </w:t>
            </w:r>
          </w:p>
        </w:tc>
      </w:tr>
      <w:tr w14:paraId="1B78B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43" w:type="dxa"/>
            <w:noWrap w:val="0"/>
            <w:vAlign w:val="center"/>
          </w:tcPr>
          <w:p w14:paraId="3FD0F290">
            <w:pPr>
              <w:keepNext w:val="0"/>
              <w:keepLines w:val="0"/>
              <w:pageBreakBefore w:val="0"/>
              <w:wordWrap/>
              <w:topLinePunct w:val="0"/>
              <w:autoSpaceDE/>
              <w:autoSpaceDN/>
              <w:bidi w:val="0"/>
              <w:snapToGrid w:val="0"/>
              <w:spacing w:line="36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法定代表人或</w:t>
            </w:r>
          </w:p>
          <w:p w14:paraId="127AAD5C">
            <w:pPr>
              <w:keepNext w:val="0"/>
              <w:keepLines w:val="0"/>
              <w:pageBreakBefore w:val="0"/>
              <w:wordWrap/>
              <w:topLinePunct w:val="0"/>
              <w:autoSpaceDE/>
              <w:autoSpaceDN/>
              <w:bidi w:val="0"/>
              <w:snapToGrid w:val="0"/>
              <w:spacing w:line="36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其授权的代理人：</w:t>
            </w:r>
            <w:r>
              <w:rPr>
                <w:rFonts w:hint="eastAsia" w:ascii="仿宋" w:hAnsi="仿宋" w:eastAsia="仿宋" w:cs="仿宋"/>
                <w:color w:val="auto"/>
                <w:sz w:val="21"/>
                <w:szCs w:val="21"/>
                <w:highlight w:val="none"/>
                <w:u w:val="single"/>
                <w:lang w:val="en-US" w:eastAsia="zh-CN"/>
              </w:rPr>
              <w:t xml:space="preserve">           </w:t>
            </w:r>
          </w:p>
        </w:tc>
        <w:tc>
          <w:tcPr>
            <w:tcW w:w="4179" w:type="dxa"/>
            <w:noWrap w:val="0"/>
            <w:vAlign w:val="center"/>
          </w:tcPr>
          <w:p w14:paraId="3B7D6C03">
            <w:pPr>
              <w:keepNext w:val="0"/>
              <w:keepLines w:val="0"/>
              <w:pageBreakBefore w:val="0"/>
              <w:wordWrap/>
              <w:topLinePunct w:val="0"/>
              <w:autoSpaceDE/>
              <w:autoSpaceDN/>
              <w:bidi w:val="0"/>
              <w:snapToGrid w:val="0"/>
              <w:spacing w:line="36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法定代表人或</w:t>
            </w:r>
          </w:p>
          <w:p w14:paraId="605DCD16">
            <w:pPr>
              <w:keepNext w:val="0"/>
              <w:keepLines w:val="0"/>
              <w:pageBreakBefore w:val="0"/>
              <w:wordWrap/>
              <w:topLinePunct w:val="0"/>
              <w:autoSpaceDE/>
              <w:autoSpaceDN/>
              <w:bidi w:val="0"/>
              <w:snapToGrid w:val="0"/>
              <w:spacing w:line="36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其授权的代理人：</w:t>
            </w:r>
            <w:r>
              <w:rPr>
                <w:rFonts w:hint="eastAsia" w:ascii="仿宋" w:hAnsi="仿宋" w:eastAsia="仿宋" w:cs="仿宋"/>
                <w:color w:val="auto"/>
                <w:sz w:val="21"/>
                <w:szCs w:val="21"/>
                <w:highlight w:val="none"/>
                <w:u w:val="single"/>
                <w:lang w:val="en-US" w:eastAsia="zh-CN"/>
              </w:rPr>
              <w:t xml:space="preserve">           </w:t>
            </w:r>
          </w:p>
        </w:tc>
      </w:tr>
      <w:tr w14:paraId="7A270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43" w:type="dxa"/>
            <w:noWrap w:val="0"/>
            <w:vAlign w:val="center"/>
          </w:tcPr>
          <w:p w14:paraId="4254EE24">
            <w:pPr>
              <w:keepNext w:val="0"/>
              <w:keepLines w:val="0"/>
              <w:pageBreakBefore w:val="0"/>
              <w:wordWrap/>
              <w:topLinePunct w:val="0"/>
              <w:autoSpaceDE/>
              <w:autoSpaceDN/>
              <w:bidi w:val="0"/>
              <w:snapToGrid w:val="0"/>
              <w:spacing w:line="36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开户银行：</w:t>
            </w:r>
            <w:r>
              <w:rPr>
                <w:rFonts w:hint="eastAsia" w:ascii="仿宋" w:hAnsi="仿宋" w:eastAsia="仿宋" w:cs="仿宋"/>
                <w:b/>
                <w:color w:val="auto"/>
                <w:sz w:val="21"/>
                <w:szCs w:val="21"/>
                <w:highlight w:val="none"/>
                <w:u w:val="single"/>
              </w:rPr>
              <w:t xml:space="preserve"> </w:t>
            </w:r>
            <w:r>
              <w:rPr>
                <w:rFonts w:hint="eastAsia" w:ascii="仿宋" w:hAnsi="仿宋" w:eastAsia="仿宋" w:cs="仿宋"/>
                <w:b/>
                <w:color w:val="auto"/>
                <w:sz w:val="21"/>
                <w:szCs w:val="21"/>
                <w:highlight w:val="none"/>
                <w:u w:val="single"/>
                <w:lang w:val="en-US" w:eastAsia="zh-CN"/>
              </w:rPr>
              <w:t xml:space="preserve">                    </w:t>
            </w:r>
            <w:r>
              <w:rPr>
                <w:rFonts w:hint="eastAsia" w:ascii="仿宋" w:hAnsi="仿宋" w:eastAsia="仿宋" w:cs="仿宋"/>
                <w:b w:val="0"/>
                <w:bCs/>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val="en-US" w:eastAsia="zh-CN"/>
              </w:rPr>
              <w:t xml:space="preserve">   </w:t>
            </w:r>
          </w:p>
        </w:tc>
        <w:tc>
          <w:tcPr>
            <w:tcW w:w="4179" w:type="dxa"/>
            <w:noWrap w:val="0"/>
            <w:vAlign w:val="center"/>
          </w:tcPr>
          <w:p w14:paraId="42162EAA">
            <w:pPr>
              <w:keepNext w:val="0"/>
              <w:keepLines w:val="0"/>
              <w:pageBreakBefore w:val="0"/>
              <w:wordWrap/>
              <w:topLinePunct w:val="0"/>
              <w:autoSpaceDE/>
              <w:autoSpaceDN/>
              <w:bidi w:val="0"/>
              <w:snapToGrid w:val="0"/>
              <w:spacing w:line="36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开户银行：</w:t>
            </w:r>
            <w:r>
              <w:rPr>
                <w:rFonts w:hint="eastAsia" w:ascii="仿宋" w:hAnsi="仿宋" w:eastAsia="仿宋" w:cs="仿宋"/>
                <w:b/>
                <w:color w:val="auto"/>
                <w:sz w:val="21"/>
                <w:szCs w:val="21"/>
                <w:highlight w:val="none"/>
                <w:u w:val="single"/>
              </w:rPr>
              <w:t xml:space="preserve"> </w:t>
            </w:r>
            <w:r>
              <w:rPr>
                <w:rFonts w:hint="eastAsia" w:ascii="仿宋" w:hAnsi="仿宋" w:eastAsia="仿宋" w:cs="仿宋"/>
                <w:b/>
                <w:color w:val="auto"/>
                <w:sz w:val="21"/>
                <w:szCs w:val="21"/>
                <w:highlight w:val="none"/>
                <w:u w:val="single"/>
                <w:lang w:val="en-US" w:eastAsia="zh-CN"/>
              </w:rPr>
              <w:t xml:space="preserve">                    </w:t>
            </w:r>
            <w:r>
              <w:rPr>
                <w:rFonts w:hint="eastAsia" w:ascii="仿宋" w:hAnsi="仿宋" w:eastAsia="仿宋" w:cs="仿宋"/>
                <w:b w:val="0"/>
                <w:bCs/>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val="en-US" w:eastAsia="zh-CN"/>
              </w:rPr>
              <w:t xml:space="preserve"> </w:t>
            </w:r>
          </w:p>
        </w:tc>
      </w:tr>
      <w:tr w14:paraId="31F7D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43" w:type="dxa"/>
            <w:noWrap w:val="0"/>
            <w:vAlign w:val="center"/>
          </w:tcPr>
          <w:p w14:paraId="4E7F2756">
            <w:pPr>
              <w:keepNext w:val="0"/>
              <w:keepLines w:val="0"/>
              <w:pageBreakBefore w:val="0"/>
              <w:wordWrap/>
              <w:topLinePunct w:val="0"/>
              <w:autoSpaceDE/>
              <w:autoSpaceDN/>
              <w:bidi w:val="0"/>
              <w:snapToGrid w:val="0"/>
              <w:spacing w:line="36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账号：</w:t>
            </w:r>
            <w:r>
              <w:rPr>
                <w:rFonts w:hint="eastAsia" w:ascii="仿宋" w:hAnsi="仿宋" w:eastAsia="仿宋" w:cs="仿宋"/>
                <w:b/>
                <w:color w:val="auto"/>
                <w:sz w:val="21"/>
                <w:szCs w:val="21"/>
                <w:highlight w:val="none"/>
                <w:u w:val="single"/>
              </w:rPr>
              <w:t xml:space="preserve"> </w:t>
            </w:r>
            <w:r>
              <w:rPr>
                <w:rFonts w:hint="eastAsia" w:ascii="仿宋" w:hAnsi="仿宋" w:eastAsia="仿宋" w:cs="仿宋"/>
                <w:b/>
                <w:color w:val="auto"/>
                <w:sz w:val="21"/>
                <w:szCs w:val="21"/>
                <w:highlight w:val="none"/>
                <w:u w:val="single"/>
                <w:lang w:val="en-US" w:eastAsia="zh-CN"/>
              </w:rPr>
              <w:t xml:space="preserve">                    </w:t>
            </w:r>
            <w:r>
              <w:rPr>
                <w:rFonts w:hint="eastAsia" w:ascii="仿宋" w:hAnsi="仿宋" w:eastAsia="仿宋" w:cs="仿宋"/>
                <w:b w:val="0"/>
                <w:bCs/>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val="en-US" w:eastAsia="zh-CN"/>
              </w:rPr>
              <w:t xml:space="preserve">   </w:t>
            </w:r>
          </w:p>
        </w:tc>
        <w:tc>
          <w:tcPr>
            <w:tcW w:w="4179" w:type="dxa"/>
            <w:noWrap w:val="0"/>
            <w:vAlign w:val="center"/>
          </w:tcPr>
          <w:p w14:paraId="18D05EE5">
            <w:pPr>
              <w:keepNext w:val="0"/>
              <w:keepLines w:val="0"/>
              <w:pageBreakBefore w:val="0"/>
              <w:wordWrap/>
              <w:topLinePunct w:val="0"/>
              <w:autoSpaceDE/>
              <w:autoSpaceDN/>
              <w:bidi w:val="0"/>
              <w:snapToGrid w:val="0"/>
              <w:spacing w:line="36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账号：</w:t>
            </w:r>
            <w:r>
              <w:rPr>
                <w:rFonts w:hint="eastAsia" w:ascii="仿宋" w:hAnsi="仿宋" w:eastAsia="仿宋" w:cs="仿宋"/>
                <w:b/>
                <w:color w:val="auto"/>
                <w:sz w:val="21"/>
                <w:szCs w:val="21"/>
                <w:highlight w:val="none"/>
                <w:u w:val="single"/>
              </w:rPr>
              <w:t xml:space="preserve"> </w:t>
            </w:r>
            <w:r>
              <w:rPr>
                <w:rFonts w:hint="eastAsia" w:ascii="仿宋" w:hAnsi="仿宋" w:eastAsia="仿宋" w:cs="仿宋"/>
                <w:b/>
                <w:color w:val="auto"/>
                <w:sz w:val="21"/>
                <w:szCs w:val="21"/>
                <w:highlight w:val="none"/>
                <w:u w:val="single"/>
                <w:lang w:val="en-US" w:eastAsia="zh-CN"/>
              </w:rPr>
              <w:t xml:space="preserve">                    </w:t>
            </w:r>
            <w:r>
              <w:rPr>
                <w:rFonts w:hint="eastAsia" w:ascii="仿宋" w:hAnsi="仿宋" w:eastAsia="仿宋" w:cs="仿宋"/>
                <w:b w:val="0"/>
                <w:bCs/>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val="en-US" w:eastAsia="zh-CN"/>
              </w:rPr>
              <w:t xml:space="preserve">   </w:t>
            </w:r>
          </w:p>
        </w:tc>
      </w:tr>
      <w:tr w14:paraId="6B1B5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43" w:type="dxa"/>
            <w:noWrap w:val="0"/>
            <w:vAlign w:val="center"/>
          </w:tcPr>
          <w:p w14:paraId="3F15FED3">
            <w:pPr>
              <w:keepNext w:val="0"/>
              <w:keepLines w:val="0"/>
              <w:pageBreakBefore w:val="0"/>
              <w:wordWrap/>
              <w:topLinePunct w:val="0"/>
              <w:autoSpaceDE/>
              <w:autoSpaceDN/>
              <w:bidi w:val="0"/>
              <w:snapToGrid w:val="0"/>
              <w:spacing w:line="36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电话：</w:t>
            </w:r>
            <w:r>
              <w:rPr>
                <w:rFonts w:hint="eastAsia" w:ascii="仿宋" w:hAnsi="仿宋" w:eastAsia="仿宋" w:cs="仿宋"/>
                <w:b/>
                <w:color w:val="auto"/>
                <w:sz w:val="21"/>
                <w:szCs w:val="21"/>
                <w:highlight w:val="none"/>
                <w:u w:val="single"/>
              </w:rPr>
              <w:t xml:space="preserve"> </w:t>
            </w:r>
            <w:r>
              <w:rPr>
                <w:rFonts w:hint="eastAsia" w:ascii="仿宋" w:hAnsi="仿宋" w:eastAsia="仿宋" w:cs="仿宋"/>
                <w:b/>
                <w:color w:val="auto"/>
                <w:sz w:val="21"/>
                <w:szCs w:val="21"/>
                <w:highlight w:val="none"/>
                <w:u w:val="single"/>
                <w:lang w:val="en-US" w:eastAsia="zh-CN"/>
              </w:rPr>
              <w:t xml:space="preserve">                    </w:t>
            </w:r>
            <w:r>
              <w:rPr>
                <w:rFonts w:hint="eastAsia" w:ascii="仿宋" w:hAnsi="仿宋" w:eastAsia="仿宋" w:cs="仿宋"/>
                <w:b w:val="0"/>
                <w:bCs/>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val="en-US" w:eastAsia="zh-CN"/>
              </w:rPr>
              <w:t xml:space="preserve">   </w:t>
            </w:r>
          </w:p>
        </w:tc>
        <w:tc>
          <w:tcPr>
            <w:tcW w:w="4179" w:type="dxa"/>
            <w:noWrap w:val="0"/>
            <w:vAlign w:val="center"/>
          </w:tcPr>
          <w:p w14:paraId="31756E84">
            <w:pPr>
              <w:keepNext w:val="0"/>
              <w:keepLines w:val="0"/>
              <w:pageBreakBefore w:val="0"/>
              <w:wordWrap/>
              <w:topLinePunct w:val="0"/>
              <w:autoSpaceDE/>
              <w:autoSpaceDN/>
              <w:bidi w:val="0"/>
              <w:snapToGrid w:val="0"/>
              <w:spacing w:line="36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电话：</w:t>
            </w:r>
            <w:r>
              <w:rPr>
                <w:rFonts w:hint="eastAsia" w:ascii="仿宋" w:hAnsi="仿宋" w:eastAsia="仿宋" w:cs="仿宋"/>
                <w:b/>
                <w:color w:val="auto"/>
                <w:sz w:val="21"/>
                <w:szCs w:val="21"/>
                <w:highlight w:val="none"/>
                <w:u w:val="single"/>
              </w:rPr>
              <w:t xml:space="preserve"> </w:t>
            </w:r>
            <w:r>
              <w:rPr>
                <w:rFonts w:hint="eastAsia" w:ascii="仿宋" w:hAnsi="仿宋" w:eastAsia="仿宋" w:cs="仿宋"/>
                <w:b/>
                <w:color w:val="auto"/>
                <w:sz w:val="21"/>
                <w:szCs w:val="21"/>
                <w:highlight w:val="none"/>
                <w:u w:val="single"/>
                <w:lang w:val="en-US" w:eastAsia="zh-CN"/>
              </w:rPr>
              <w:t xml:space="preserve">                    </w:t>
            </w:r>
            <w:r>
              <w:rPr>
                <w:rFonts w:hint="eastAsia" w:ascii="仿宋" w:hAnsi="仿宋" w:eastAsia="仿宋" w:cs="仿宋"/>
                <w:b w:val="0"/>
                <w:bCs/>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val="en-US" w:eastAsia="zh-CN"/>
              </w:rPr>
              <w:t xml:space="preserve">   </w:t>
            </w:r>
          </w:p>
        </w:tc>
      </w:tr>
    </w:tbl>
    <w:p w14:paraId="55DBC1B0">
      <w:pPr>
        <w:keepNext w:val="0"/>
        <w:keepLines w:val="0"/>
        <w:pageBreakBefore w:val="0"/>
        <w:wordWrap/>
        <w:overflowPunct w:val="0"/>
        <w:topLinePunct w:val="0"/>
        <w:bidi w:val="0"/>
        <w:snapToGrid w:val="0"/>
        <w:spacing w:line="360" w:lineRule="auto"/>
        <w:ind w:left="0" w:leftChars="0" w:firstLine="478" w:firstLineChars="228"/>
        <w:jc w:val="both"/>
        <w:rPr>
          <w:rFonts w:hint="eastAsia" w:ascii="仿宋" w:hAnsi="仿宋" w:eastAsia="仿宋" w:cs="仿宋"/>
          <w:color w:val="auto"/>
          <w:sz w:val="21"/>
          <w:szCs w:val="21"/>
          <w:highlight w:val="none"/>
        </w:rPr>
        <w:sectPr>
          <w:pgSz w:w="11910" w:h="16840"/>
          <w:pgMar w:top="1440" w:right="1800" w:bottom="1440" w:left="1800" w:header="0" w:footer="890" w:gutter="0"/>
          <w:pgNumType w:fmt="decimal"/>
          <w:cols w:space="720" w:num="1"/>
        </w:sectPr>
      </w:pPr>
    </w:p>
    <w:p w14:paraId="7AB7B20E">
      <w:pPr>
        <w:keepNext w:val="0"/>
        <w:keepLines w:val="0"/>
        <w:pageBreakBefore w:val="0"/>
        <w:widowControl/>
        <w:kinsoku w:val="0"/>
        <w:wordWrap/>
        <w:overflowPunct/>
        <w:topLinePunct w:val="0"/>
        <w:autoSpaceDE w:val="0"/>
        <w:autoSpaceDN w:val="0"/>
        <w:bidi w:val="0"/>
        <w:adjustRightInd w:val="0"/>
        <w:snapToGrid w:val="0"/>
        <w:spacing w:line="360" w:lineRule="auto"/>
        <w:ind w:left="-613" w:leftChars="-292" w:firstLine="327" w:firstLineChars="148"/>
        <w:jc w:val="center"/>
        <w:textAlignment w:val="baseline"/>
        <w:rPr>
          <w:rFonts w:hint="eastAsia" w:ascii="仿宋" w:hAnsi="仿宋" w:eastAsia="仿宋" w:cs="仿宋"/>
          <w:b/>
          <w:bCs/>
          <w:color w:val="auto"/>
          <w:sz w:val="22"/>
          <w:szCs w:val="22"/>
          <w:highlight w:val="none"/>
        </w:rPr>
      </w:pPr>
      <w:bookmarkStart w:id="15" w:name="（二）乙方的权利和义务"/>
      <w:bookmarkEnd w:id="15"/>
      <w:bookmarkStart w:id="16" w:name="第十三条__合同生效及其他"/>
      <w:bookmarkEnd w:id="16"/>
      <w:r>
        <w:rPr>
          <w:rFonts w:hint="eastAsia" w:ascii="仿宋" w:hAnsi="仿宋" w:eastAsia="仿宋" w:cs="仿宋"/>
          <w:b/>
          <w:bCs/>
          <w:color w:val="auto"/>
          <w:sz w:val="22"/>
          <w:szCs w:val="22"/>
          <w:highlight w:val="none"/>
        </w:rPr>
        <w:t>合同条款</w:t>
      </w:r>
    </w:p>
    <w:p w14:paraId="369BBDD2">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一、饮食服务管理</w:t>
      </w:r>
    </w:p>
    <w:p w14:paraId="1D5A23B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乙方根据本项目的用餐人数、规模及甲方要求，乙方提供完善的运营服务方案，制定健全的防鼠、防蝇、防蚊、防蟑螂、防尘等措施，确保餐厅的食品质量、安全卫生、环保节能、治安消防，确保餐厅的正常运营和规范服务；</w:t>
      </w:r>
    </w:p>
    <w:p w14:paraId="04AB8C1B">
      <w:pPr>
        <w:keepNext w:val="0"/>
        <w:keepLines w:val="0"/>
        <w:pageBreakBefore w:val="0"/>
        <w:widowControl/>
        <w:kinsoku w:val="0"/>
        <w:wordWrap/>
        <w:overflowPunct/>
        <w:topLinePunct w:val="0"/>
        <w:autoSpaceDE w:val="0"/>
        <w:autoSpaceDN w:val="0"/>
        <w:bidi w:val="0"/>
        <w:adjustRightInd w:val="0"/>
        <w:snapToGrid w:val="0"/>
        <w:spacing w:line="360" w:lineRule="auto"/>
        <w:ind w:left="-17" w:leftChars="-8" w:firstLine="491" w:firstLineChars="234"/>
        <w:textAlignment w:val="baseline"/>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2.乙方须严格按照食品安全法对每餐出品进行留样，并认真填写食品留样登记表</w:t>
      </w:r>
      <w:r>
        <w:rPr>
          <w:rFonts w:hint="eastAsia" w:ascii="仿宋" w:hAnsi="仿宋" w:eastAsia="仿宋" w:cs="仿宋"/>
          <w:color w:val="auto"/>
          <w:sz w:val="21"/>
          <w:szCs w:val="21"/>
          <w:highlight w:val="none"/>
          <w:lang w:eastAsia="zh-CN"/>
        </w:rPr>
        <w:t>；</w:t>
      </w:r>
    </w:p>
    <w:p w14:paraId="6A81995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3.乙方按照国家的相关规定及甲方要求，工作日统一时间将产生的残食，泔水、垃圾倒入指定地点，甲方负责清运；</w:t>
      </w:r>
    </w:p>
    <w:p w14:paraId="22D2F3E4">
      <w:pPr>
        <w:keepNext w:val="0"/>
        <w:keepLines w:val="0"/>
        <w:pageBreakBefore w:val="0"/>
        <w:widowControl/>
        <w:kinsoku/>
        <w:wordWrap/>
        <w:overflowPunct w:val="0"/>
        <w:topLinePunct w:val="0"/>
        <w:autoSpaceDE/>
        <w:autoSpaceDN/>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4.餐厅运营所使用的餐</w:t>
      </w:r>
      <w:r>
        <w:rPr>
          <w:rFonts w:hint="eastAsia" w:ascii="仿宋" w:hAnsi="仿宋" w:eastAsia="仿宋" w:cs="仿宋"/>
          <w:color w:val="auto"/>
          <w:sz w:val="21"/>
          <w:szCs w:val="21"/>
          <w:highlight w:val="none"/>
          <w:lang w:val="en-US" w:eastAsia="zh-CN"/>
        </w:rPr>
        <w:t>巾</w:t>
      </w:r>
      <w:r>
        <w:rPr>
          <w:rFonts w:hint="eastAsia" w:ascii="仿宋" w:hAnsi="仿宋" w:eastAsia="仿宋" w:cs="仿宋"/>
          <w:color w:val="auto"/>
          <w:sz w:val="21"/>
          <w:szCs w:val="21"/>
          <w:highlight w:val="none"/>
        </w:rPr>
        <w:t>纸、清洁用品（拖把、抹布，垃圾袋，清洁剂、消毒剂等）的购买及承担所产生的费用由乙方负责；</w:t>
      </w:r>
    </w:p>
    <w:p w14:paraId="650F49B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5.由乙方负责办理《食品经营许可证》等相关证照，甲方协助提供办理所需材料</w:t>
      </w:r>
      <w:r>
        <w:rPr>
          <w:rFonts w:hint="eastAsia" w:ascii="仿宋" w:hAnsi="仿宋" w:eastAsia="仿宋" w:cs="仿宋"/>
          <w:color w:val="auto"/>
          <w:sz w:val="21"/>
          <w:szCs w:val="21"/>
          <w:highlight w:val="none"/>
          <w:lang w:eastAsia="zh-CN"/>
        </w:rPr>
        <w:t>；</w:t>
      </w:r>
    </w:p>
    <w:p w14:paraId="37C793B1">
      <w:pPr>
        <w:keepNext w:val="0"/>
        <w:keepLines w:val="0"/>
        <w:pageBreakBefore w:val="0"/>
        <w:widowControl/>
        <w:kinsoku/>
        <w:wordWrap/>
        <w:overflowPunct w:val="0"/>
        <w:topLinePunct w:val="0"/>
        <w:autoSpaceDE/>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根据《食品安全法》、《餐饮服务食品采购索证索票管理规定》的要求，乙方采购食品原料时应按照有关要求进行索证索票，并做好采购验收记录，便于溯源；乙方按照要求如实登记相关索证信息，不得涂改或作虛假记录，并指定专人妥善保管，保存期限不少于二年；索取的相关证件，票据应妥善保存，并与记录内容相对应，便于核查；</w:t>
      </w:r>
    </w:p>
    <w:p w14:paraId="74F7F80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7.因己方管理不当或其他原因造成的火实、触电、食物中毒等安全责任事故，由此造成的损失或伤害由乙方承担相关责任及费用；</w:t>
      </w:r>
    </w:p>
    <w:p w14:paraId="391F076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8.因乙方工作人员无法达到甲方管理服务要求，乙方应对人员进行处理、调换，以确保采购需求及服务得以最佳实现；</w:t>
      </w:r>
    </w:p>
    <w:p w14:paraId="6D13CE0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9.甲方根据检查考核结果，每月5日</w:t>
      </w:r>
      <w:r>
        <w:rPr>
          <w:rFonts w:hint="eastAsia" w:ascii="仿宋" w:hAnsi="仿宋" w:eastAsia="仿宋" w:cs="仿宋"/>
          <w:color w:val="auto"/>
          <w:sz w:val="21"/>
          <w:szCs w:val="21"/>
          <w:highlight w:val="none"/>
          <w:lang w:val="en-US" w:eastAsia="zh-CN"/>
        </w:rPr>
        <w:t>核算</w:t>
      </w:r>
      <w:r>
        <w:rPr>
          <w:rFonts w:hint="eastAsia" w:ascii="仿宋" w:hAnsi="仿宋" w:eastAsia="仿宋" w:cs="仿宋"/>
          <w:color w:val="auto"/>
          <w:sz w:val="21"/>
          <w:szCs w:val="21"/>
          <w:highlight w:val="none"/>
        </w:rPr>
        <w:t>上一个月份每餐用</w:t>
      </w:r>
      <w:r>
        <w:rPr>
          <w:rFonts w:hint="eastAsia" w:ascii="仿宋" w:hAnsi="仿宋" w:eastAsia="仿宋" w:cs="仿宋"/>
          <w:color w:val="auto"/>
          <w:sz w:val="21"/>
          <w:szCs w:val="21"/>
          <w:highlight w:val="none"/>
          <w:lang w:val="en-US" w:eastAsia="zh-CN"/>
        </w:rPr>
        <w:t>餐</w:t>
      </w:r>
      <w:r>
        <w:rPr>
          <w:rFonts w:hint="eastAsia" w:ascii="仿宋" w:hAnsi="仿宋" w:eastAsia="仿宋" w:cs="仿宋"/>
          <w:color w:val="auto"/>
          <w:sz w:val="21"/>
          <w:szCs w:val="21"/>
          <w:highlight w:val="none"/>
        </w:rPr>
        <w:t>人数，核算完毕后以转账形式，在乙方开具发票后10个工作日内进行结算</w:t>
      </w:r>
      <w:r>
        <w:rPr>
          <w:rFonts w:hint="eastAsia" w:ascii="仿宋" w:hAnsi="仿宋" w:eastAsia="仿宋" w:cs="仿宋"/>
          <w:color w:val="auto"/>
          <w:sz w:val="21"/>
          <w:szCs w:val="21"/>
          <w:highlight w:val="none"/>
          <w:lang w:eastAsia="zh-CN"/>
        </w:rPr>
        <w:t>；</w:t>
      </w:r>
    </w:p>
    <w:p w14:paraId="0775018B">
      <w:pPr>
        <w:keepNext w:val="0"/>
        <w:keepLines w:val="0"/>
        <w:pageBreakBefore w:val="0"/>
        <w:widowControl/>
        <w:kinsoku/>
        <w:wordWrap/>
        <w:overflowPunct w:val="0"/>
        <w:topLinePunct w:val="0"/>
        <w:autoSpaceDE/>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10.为保证供餐质量，采购方职能部门会同乙方每月在就餐员工中进行满意度民主测评/考校小组进行考核。满意度/考核打分低于相应标准，甲方有权向乙方提出整改或经济处罚。满意度低于 75%/考核打分低于 60分甲方有权向乙方提出整改或经济处罚(1000元-2000元），满意度连续或累计3次低于75%考核低于60分甲方有权单方面解除合同，并无需给予乙方任何赔偿。</w:t>
      </w:r>
    </w:p>
    <w:p w14:paraId="72201F7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11.乙方在合同履行期间，不能按照其投标文件响应及合同要求进行履约的，甲方有权随时终止合同，由此带来的一切损失由乙方自行承担。</w:t>
      </w:r>
    </w:p>
    <w:p w14:paraId="04395DEF">
      <w:pPr>
        <w:keepNext w:val="0"/>
        <w:keepLines w:val="0"/>
        <w:pageBreakBefore w:val="0"/>
        <w:widowControl/>
        <w:kinsoku/>
        <w:wordWrap/>
        <w:overflowPunct w:val="0"/>
        <w:topLinePunct w:val="0"/>
        <w:autoSpaceDE/>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12.自合同签订之日起，由乙方负责保障上、下班期间员工安全，并购买商业保险，所产生的费用由乙方自行承担。</w:t>
      </w:r>
    </w:p>
    <w:p w14:paraId="2001D7C9">
      <w:pPr>
        <w:keepNext w:val="0"/>
        <w:keepLines w:val="0"/>
        <w:pageBreakBefore w:val="0"/>
        <w:widowControl w:val="0"/>
        <w:kinsoku/>
        <w:wordWrap/>
        <w:overflowPunct w:val="0"/>
        <w:topLinePunct w:val="0"/>
        <w:autoSpaceDE/>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13.重大公共卫生安全事件，乙方需具有应对能力，并针对事件按照国家要求做相应检测、防护措施，所产生的费用由乙方自行承担。</w:t>
      </w:r>
    </w:p>
    <w:p w14:paraId="4CA837D1">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二、服务场所</w:t>
      </w:r>
    </w:p>
    <w:p w14:paraId="7C91CBC3">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1.甲方免费提供供餐场地、制作场地、餐厅及后厨设备、厨具及餐具，（一次性餐具除外）；承担水、电、天然气、空调合理使用费用及正常维修费用，乙方应节约水电和燃气费用，做到良好内控管理记录。</w:t>
      </w:r>
    </w:p>
    <w:p w14:paraId="3E6516A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2.甲方免费提供一间办公用房，可适当提供员工宿舍供休息。</w:t>
      </w:r>
    </w:p>
    <w:p w14:paraId="049A8A92">
      <w:pPr>
        <w:keepNext w:val="0"/>
        <w:keepLines w:val="0"/>
        <w:pageBreakBefore w:val="0"/>
        <w:widowControl/>
        <w:kinsoku/>
        <w:wordWrap/>
        <w:overflowPunct w:val="0"/>
        <w:topLinePunct w:val="0"/>
        <w:autoSpaceDE/>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r>
        <w:rPr>
          <w:rFonts w:hint="eastAsia" w:ascii="仿宋" w:hAnsi="仿宋" w:eastAsia="仿宋" w:cs="仿宋"/>
          <w:color w:val="auto"/>
          <w:sz w:val="21"/>
          <w:szCs w:val="21"/>
          <w:highlight w:val="none"/>
        </w:rPr>
        <w:t>乙方配合甲方定期对厨房油烟管道清洁，对餐厅隔油池做清理，每月对餐厅、厨房、更衣室、办公室进行消杀一次。</w:t>
      </w:r>
    </w:p>
    <w:p w14:paraId="6AC8AA0B">
      <w:pPr>
        <w:keepNext w:val="0"/>
        <w:keepLines w:val="0"/>
        <w:pageBreakBefore w:val="0"/>
        <w:widowControl/>
        <w:kinsoku/>
        <w:wordWrap/>
        <w:overflowPunct w:val="0"/>
        <w:topLinePunct w:val="0"/>
        <w:autoSpaceDE/>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甲方提供运营服务中厨房、餐厅内的固定资产、设施设备、器具、器皿等（明细清单附后），为乙方服务期内无偿使用。自助餐台由乙方提供，资产归乙方。乙方在合同签订前，对资产明细清单进行核查，双方签宇确认后，移交乙方负责管理使用，原则上不再增添设备。服务期满后，乙方应将代为管理使用的采购方资产完好交回，否则乙方应按实际发生额支付修理费或赔偿费《自然折日损耗除外）。</w:t>
      </w:r>
    </w:p>
    <w:p w14:paraId="48AE1B7F">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三、岗位配置</w:t>
      </w:r>
    </w:p>
    <w:p w14:paraId="00A6D86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人员配备：项目经理、菜品研发、厨师长、厨师、副厨、服务领班、杂工、库管、消毒员等人员，负责职工餐厅的加工食材、菜品加工制作、职工就餐、</w:t>
      </w:r>
      <w:r>
        <w:rPr>
          <w:rFonts w:hint="eastAsia" w:ascii="仿宋" w:hAnsi="仿宋" w:eastAsia="仿宋" w:cs="仿宋"/>
          <w:color w:val="auto"/>
          <w:sz w:val="21"/>
          <w:szCs w:val="21"/>
          <w:highlight w:val="none"/>
          <w:lang w:eastAsia="zh-CN"/>
        </w:rPr>
        <w:t>重要公务活动</w:t>
      </w:r>
      <w:r>
        <w:rPr>
          <w:rFonts w:hint="eastAsia" w:ascii="仿宋" w:hAnsi="仿宋" w:eastAsia="仿宋" w:cs="仿宋"/>
          <w:color w:val="auto"/>
          <w:sz w:val="21"/>
          <w:szCs w:val="21"/>
          <w:highlight w:val="none"/>
        </w:rPr>
        <w:t>服务、餐厅人员的人身安全；餐厅所辖区域及各类所属设备设施的卫生清洁服务。</w:t>
      </w:r>
    </w:p>
    <w:p w14:paraId="2F0D240E">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default" w:ascii="仿宋" w:hAnsi="仿宋" w:eastAsia="仿宋" w:cs="仿宋"/>
          <w:color w:val="auto"/>
          <w:sz w:val="21"/>
          <w:szCs w:val="21"/>
          <w:highlight w:val="none"/>
          <w:u w:val="single"/>
          <w:lang w:val="en-US" w:eastAsia="zh-CN"/>
        </w:rPr>
      </w:pPr>
      <w:r>
        <w:rPr>
          <w:rFonts w:hint="eastAsia" w:ascii="仿宋" w:hAnsi="仿宋" w:eastAsia="仿宋" w:cs="仿宋"/>
          <w:b/>
          <w:bCs/>
          <w:color w:val="auto"/>
          <w:sz w:val="21"/>
          <w:szCs w:val="21"/>
          <w:highlight w:val="none"/>
        </w:rPr>
        <w:t>四、上岗时间</w:t>
      </w:r>
      <w:r>
        <w:rPr>
          <w:rFonts w:hint="eastAsia" w:ascii="仿宋" w:hAnsi="仿宋" w:eastAsia="仿宋" w:cs="仿宋"/>
          <w:b/>
          <w:bCs/>
          <w:color w:val="auto"/>
          <w:sz w:val="21"/>
          <w:szCs w:val="21"/>
          <w:highlight w:val="none"/>
          <w:u w:val="single"/>
          <w:lang w:val="en-US" w:eastAsia="zh-CN"/>
        </w:rPr>
        <w:t xml:space="preserve">              </w:t>
      </w:r>
    </w:p>
    <w:p w14:paraId="7A54C9B1">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val="en-US" w:eastAsia="zh-CN"/>
        </w:rPr>
        <w:t>五</w:t>
      </w:r>
      <w:r>
        <w:rPr>
          <w:rFonts w:hint="eastAsia" w:ascii="仿宋" w:hAnsi="仿宋" w:eastAsia="仿宋" w:cs="仿宋"/>
          <w:b/>
          <w:bCs/>
          <w:color w:val="auto"/>
          <w:sz w:val="21"/>
          <w:szCs w:val="21"/>
          <w:highlight w:val="none"/>
        </w:rPr>
        <w:t>、项目概述</w:t>
      </w:r>
    </w:p>
    <w:p w14:paraId="521102DA">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1、餐厅概况</w:t>
      </w:r>
    </w:p>
    <w:p w14:paraId="43FFC4F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地址：西安市长安区西长安街 669 号</w:t>
      </w:r>
    </w:p>
    <w:p w14:paraId="4505D57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员工餐厅位于西安市长安区政府院内，餐厅面积一层110平米，二、三层各150平方米；餐厅一、二、三层均可设自助餐台，配置布菲炉不少于48个（供应商自配），就餐位730个。</w:t>
      </w:r>
    </w:p>
    <w:p w14:paraId="5CA61712">
      <w:pPr>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1.3</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每餐就餐人数约 700 人（就餐标准：餐标为28元/人/天（早餐7元/人；午餐19元/人；晚餐2元/人）</w:t>
      </w:r>
    </w:p>
    <w:p w14:paraId="1F45E2B0">
      <w:pPr>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1.4</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定位：单位餐厅主要以提供单位人员工作餐及</w:t>
      </w:r>
      <w:r>
        <w:rPr>
          <w:rFonts w:hint="eastAsia" w:ascii="仿宋" w:hAnsi="仿宋" w:eastAsia="仿宋" w:cs="仿宋"/>
          <w:color w:val="auto"/>
          <w:sz w:val="21"/>
          <w:szCs w:val="21"/>
          <w:highlight w:val="none"/>
          <w:lang w:eastAsia="zh-CN"/>
        </w:rPr>
        <w:t>重要公务活动</w:t>
      </w:r>
      <w:r>
        <w:rPr>
          <w:rFonts w:hint="eastAsia" w:ascii="仿宋" w:hAnsi="仿宋" w:eastAsia="仿宋" w:cs="仿宋"/>
          <w:color w:val="auto"/>
          <w:sz w:val="21"/>
          <w:szCs w:val="21"/>
          <w:highlight w:val="none"/>
          <w:lang w:val="en-US" w:eastAsia="zh-CN"/>
        </w:rPr>
        <w:t>用餐</w:t>
      </w:r>
      <w:r>
        <w:rPr>
          <w:rFonts w:hint="eastAsia" w:ascii="仿宋" w:hAnsi="仿宋" w:eastAsia="仿宋" w:cs="仿宋"/>
          <w:color w:val="auto"/>
          <w:sz w:val="21"/>
          <w:szCs w:val="21"/>
          <w:highlight w:val="none"/>
        </w:rPr>
        <w:t>为主。</w:t>
      </w:r>
    </w:p>
    <w:p w14:paraId="3C5D0F3E">
      <w:pPr>
        <w:pStyle w:val="2"/>
        <w:tabs>
          <w:tab w:val="left" w:pos="567"/>
        </w:tabs>
        <w:rPr>
          <w:rFonts w:hint="eastAsia" w:ascii="仿宋" w:hAnsi="仿宋" w:eastAsia="仿宋" w:cs="仿宋"/>
          <w:snapToGrid w:val="0"/>
          <w:color w:val="auto"/>
          <w:kern w:val="2"/>
          <w:sz w:val="21"/>
          <w:szCs w:val="21"/>
          <w:highlight w:val="none"/>
          <w:lang w:val="en-US" w:eastAsia="zh-CN" w:bidi="ar-SA"/>
        </w:rPr>
      </w:pPr>
      <w:r>
        <w:rPr>
          <w:rFonts w:hint="eastAsia" w:ascii="仿宋" w:hAnsi="仿宋" w:eastAsia="仿宋" w:cs="仿宋"/>
          <w:snapToGrid w:val="0"/>
          <w:color w:val="auto"/>
          <w:kern w:val="2"/>
          <w:sz w:val="21"/>
          <w:szCs w:val="21"/>
          <w:highlight w:val="none"/>
          <w:lang w:val="en-US" w:eastAsia="zh-CN" w:bidi="ar-SA"/>
        </w:rPr>
        <w:t>（注：1、付款结算分两部分，财政补贴部分最终结算价不超过4300800.00元，个人承担部分结算总价不超过：716800.00元。</w:t>
      </w:r>
    </w:p>
    <w:p w14:paraId="214349E8">
      <w:pPr>
        <w:pStyle w:val="2"/>
        <w:numPr>
          <w:ilvl w:val="0"/>
          <w:numId w:val="1"/>
        </w:numPr>
        <w:tabs>
          <w:tab w:val="left" w:pos="567"/>
        </w:tabs>
        <w:rPr>
          <w:rFonts w:hint="eastAsia" w:ascii="仿宋" w:hAnsi="仿宋" w:eastAsia="仿宋" w:cs="仿宋"/>
          <w:snapToGrid w:val="0"/>
          <w:color w:val="auto"/>
          <w:kern w:val="2"/>
          <w:sz w:val="21"/>
          <w:szCs w:val="21"/>
          <w:highlight w:val="none"/>
          <w:lang w:val="en-US" w:eastAsia="zh-CN" w:bidi="ar-SA"/>
        </w:rPr>
      </w:pPr>
      <w:r>
        <w:rPr>
          <w:rFonts w:hint="eastAsia" w:ascii="仿宋" w:hAnsi="仿宋" w:eastAsia="仿宋" w:cs="仿宋"/>
          <w:snapToGrid w:val="0"/>
          <w:color w:val="auto"/>
          <w:kern w:val="2"/>
          <w:sz w:val="21"/>
          <w:szCs w:val="21"/>
          <w:highlight w:val="none"/>
          <w:lang w:val="en-US" w:eastAsia="zh-CN" w:bidi="ar-SA"/>
        </w:rPr>
        <w:t>财政补贴餐标标准： A类：早餐6元/人/次；午餐17元/人/次；晚餐1元/人/次；</w:t>
      </w:r>
    </w:p>
    <w:p w14:paraId="4CC35BC4">
      <w:pPr>
        <w:pStyle w:val="2"/>
        <w:numPr>
          <w:ilvl w:val="0"/>
          <w:numId w:val="0"/>
        </w:numPr>
        <w:tabs>
          <w:tab w:val="left" w:pos="567"/>
        </w:tabs>
        <w:ind w:firstLine="2310" w:firstLineChars="1100"/>
        <w:rPr>
          <w:rFonts w:hint="eastAsia" w:ascii="仿宋" w:hAnsi="仿宋" w:eastAsia="仿宋" w:cs="仿宋"/>
          <w:snapToGrid w:val="0"/>
          <w:color w:val="auto"/>
          <w:kern w:val="2"/>
          <w:sz w:val="21"/>
          <w:szCs w:val="21"/>
          <w:highlight w:val="none"/>
          <w:lang w:val="en-US" w:eastAsia="zh-CN" w:bidi="ar-SA"/>
        </w:rPr>
      </w:pPr>
      <w:r>
        <w:rPr>
          <w:rFonts w:hint="eastAsia" w:ascii="仿宋" w:hAnsi="仿宋" w:eastAsia="仿宋" w:cs="仿宋"/>
          <w:snapToGrid w:val="0"/>
          <w:color w:val="auto"/>
          <w:kern w:val="2"/>
          <w:sz w:val="21"/>
          <w:szCs w:val="21"/>
          <w:highlight w:val="none"/>
          <w:lang w:val="en-US" w:eastAsia="zh-CN" w:bidi="ar-SA"/>
        </w:rPr>
        <w:t>B类：早餐4元/人/次；午餐13元/人/次；晚餐0.35元/人/次。</w:t>
      </w:r>
    </w:p>
    <w:p w14:paraId="09279617">
      <w:pPr>
        <w:pStyle w:val="2"/>
        <w:numPr>
          <w:ilvl w:val="0"/>
          <w:numId w:val="1"/>
        </w:numPr>
        <w:tabs>
          <w:tab w:val="left" w:pos="567"/>
        </w:tabs>
        <w:rPr>
          <w:rFonts w:hint="eastAsia" w:ascii="仿宋" w:hAnsi="仿宋" w:eastAsia="仿宋" w:cs="仿宋"/>
          <w:snapToGrid w:val="0"/>
          <w:color w:val="auto"/>
          <w:kern w:val="2"/>
          <w:sz w:val="21"/>
          <w:szCs w:val="21"/>
          <w:highlight w:val="none"/>
          <w:lang w:val="en-US" w:eastAsia="zh-CN" w:bidi="ar-SA"/>
        </w:rPr>
      </w:pPr>
      <w:r>
        <w:rPr>
          <w:rFonts w:hint="eastAsia" w:ascii="仿宋" w:hAnsi="仿宋" w:eastAsia="仿宋" w:cs="仿宋"/>
          <w:snapToGrid w:val="0"/>
          <w:color w:val="auto"/>
          <w:kern w:val="2"/>
          <w:sz w:val="21"/>
          <w:szCs w:val="21"/>
          <w:highlight w:val="none"/>
          <w:lang w:val="en-US" w:eastAsia="zh-CN" w:bidi="ar-SA"/>
        </w:rPr>
        <w:t>个人承担部分：A类：早餐1元/人/次；午餐2元/人/次；晚餐1元/人/次；</w:t>
      </w:r>
    </w:p>
    <w:p w14:paraId="35501730">
      <w:pPr>
        <w:pStyle w:val="2"/>
        <w:numPr>
          <w:ilvl w:val="0"/>
          <w:numId w:val="0"/>
        </w:numPr>
        <w:tabs>
          <w:tab w:val="left" w:pos="567"/>
        </w:tabs>
        <w:ind w:firstLine="2310" w:firstLineChars="1100"/>
        <w:rPr>
          <w:rFonts w:hint="eastAsia"/>
          <w:highlight w:val="none"/>
        </w:rPr>
      </w:pPr>
      <w:r>
        <w:rPr>
          <w:rFonts w:hint="eastAsia" w:ascii="仿宋" w:hAnsi="仿宋" w:eastAsia="仿宋" w:cs="仿宋"/>
          <w:snapToGrid w:val="0"/>
          <w:color w:val="auto"/>
          <w:kern w:val="2"/>
          <w:sz w:val="21"/>
          <w:szCs w:val="21"/>
          <w:highlight w:val="none"/>
          <w:lang w:val="en-US" w:eastAsia="zh-CN" w:bidi="ar-SA"/>
        </w:rPr>
        <w:t>B类：早餐3元/人/次；午餐6元/人/次；晚餐1.65元/人/次。</w:t>
      </w:r>
    </w:p>
    <w:p w14:paraId="63DB42C8">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2、餐厅经营服务</w:t>
      </w:r>
    </w:p>
    <w:p w14:paraId="3E826BC7">
      <w:pPr>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2.1</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员工餐厅经营服务，自助餐形式经营，按餐/次/人据实核算。本单位内部就餐人员凭卡消费。收费标准执行单位内部定价。非本单位人员需在食堂就餐的，经采购人同意后，由个人自费买单，收费标准：早餐7元/位、午餐19元/位、晚餐2元/位。</w:t>
      </w:r>
    </w:p>
    <w:p w14:paraId="3AA830D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2.2</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主要为政府机关工作人员、其他业务人员等提供早、午、晚工作餐。</w:t>
      </w:r>
    </w:p>
    <w:p w14:paraId="0092E3B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 如有需要，提供会议用餐、</w:t>
      </w:r>
      <w:r>
        <w:rPr>
          <w:rFonts w:hint="eastAsia" w:ascii="仿宋" w:hAnsi="仿宋" w:eastAsia="仿宋" w:cs="仿宋"/>
          <w:color w:val="auto"/>
          <w:sz w:val="21"/>
          <w:szCs w:val="21"/>
          <w:highlight w:val="none"/>
          <w:lang w:val="en-US" w:eastAsia="zh-CN"/>
        </w:rPr>
        <w:t>公务</w:t>
      </w:r>
      <w:r>
        <w:rPr>
          <w:rFonts w:hint="eastAsia" w:ascii="仿宋" w:hAnsi="仿宋" w:eastAsia="仿宋" w:cs="仿宋"/>
          <w:color w:val="auto"/>
          <w:sz w:val="21"/>
          <w:szCs w:val="21"/>
          <w:highlight w:val="none"/>
        </w:rPr>
        <w:t>用餐。具体根据用餐单位要求制定菜单，此项费用由用餐单位报区级领导同意，并于长安区机关事务服务中心进行备案登记，所产生的费用由用餐单位与承包商自行结算，不包含在此次采购预算内。（注：</w:t>
      </w:r>
      <w:r>
        <w:rPr>
          <w:rFonts w:hint="eastAsia" w:ascii="仿宋" w:hAnsi="仿宋" w:eastAsia="仿宋" w:cs="仿宋"/>
          <w:color w:val="auto"/>
          <w:sz w:val="21"/>
          <w:szCs w:val="21"/>
          <w:highlight w:val="none"/>
          <w:lang w:val="en-US" w:eastAsia="zh-CN"/>
        </w:rPr>
        <w:t>重要公务活动</w:t>
      </w:r>
      <w:r>
        <w:rPr>
          <w:rFonts w:hint="eastAsia" w:ascii="仿宋" w:hAnsi="仿宋" w:eastAsia="仿宋" w:cs="仿宋"/>
          <w:color w:val="auto"/>
          <w:sz w:val="21"/>
          <w:szCs w:val="21"/>
          <w:highlight w:val="none"/>
        </w:rPr>
        <w:t>用餐收费标准具体见</w:t>
      </w:r>
      <w:r>
        <w:rPr>
          <w:rFonts w:hint="eastAsia" w:ascii="仿宋" w:hAnsi="仿宋" w:eastAsia="仿宋" w:cs="仿宋"/>
          <w:color w:val="auto"/>
          <w:sz w:val="21"/>
          <w:szCs w:val="21"/>
          <w:highlight w:val="none"/>
          <w:lang w:eastAsia="zh-CN"/>
        </w:rPr>
        <w:t>业务重要公务活动</w:t>
      </w:r>
      <w:r>
        <w:rPr>
          <w:rFonts w:hint="eastAsia" w:ascii="仿宋" w:hAnsi="仿宋" w:eastAsia="仿宋" w:cs="仿宋"/>
          <w:color w:val="auto"/>
          <w:sz w:val="21"/>
          <w:szCs w:val="21"/>
          <w:highlight w:val="none"/>
        </w:rPr>
        <w:t>菜单。）</w:t>
      </w:r>
    </w:p>
    <w:p w14:paraId="40A93346">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val="en-US" w:eastAsia="zh-CN"/>
        </w:rPr>
        <w:t>六</w:t>
      </w:r>
      <w:r>
        <w:rPr>
          <w:rFonts w:hint="eastAsia" w:ascii="仿宋" w:hAnsi="仿宋" w:eastAsia="仿宋" w:cs="仿宋"/>
          <w:b/>
          <w:bCs/>
          <w:color w:val="auto"/>
          <w:sz w:val="21"/>
          <w:szCs w:val="21"/>
          <w:highlight w:val="none"/>
        </w:rPr>
        <w:t>、菜品出品时间和标准</w:t>
      </w:r>
    </w:p>
    <w:p w14:paraId="4D50E338">
      <w:pPr>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1、早餐7：40-8：50，午餐12：00-13：00，晚餐18：00-18：50（双休日及法定节假日除外）；准时开餐。</w:t>
      </w:r>
    </w:p>
    <w:p w14:paraId="546AEA3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2、用餐所供食品、器皿在开餐前10分钟布置完毕，如因客观因素不能准时开餐，承包方应提前通知有关管理部门，并留有充分时间做出补救。</w:t>
      </w:r>
    </w:p>
    <w:p w14:paraId="0F6158D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3、员工餐采取自助餐形式，荤素搭配，均衡膳食，按餐划卡。</w:t>
      </w:r>
    </w:p>
    <w:p w14:paraId="7F8307D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3.1</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荤菜是以肉类或水产类原材料为主。</w:t>
      </w:r>
    </w:p>
    <w:p w14:paraId="6D6A49D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3.2</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荤素菜是含有肉类或水产类原材料的菜品。</w:t>
      </w:r>
    </w:p>
    <w:p w14:paraId="02A797F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3.3</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素菜是不含肉类或水产类原材料的菜品。</w:t>
      </w:r>
    </w:p>
    <w:p w14:paraId="5326B91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3.4</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饭菜保证菜品色、香、味和温度。</w:t>
      </w:r>
    </w:p>
    <w:p w14:paraId="39F325A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rPr>
        <w:t>4、菜品要求</w:t>
      </w:r>
    </w:p>
    <w:p w14:paraId="107FA27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4.1</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供餐要求</w:t>
      </w:r>
    </w:p>
    <w:p w14:paraId="741CE72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实行24小时供餐保障，供餐模式为自助式供餐，公休日、国家法定节假日确需供餐的双方协商。</w:t>
      </w:r>
    </w:p>
    <w:p w14:paraId="52295B0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4.2</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供餐内容</w:t>
      </w:r>
    </w:p>
    <w:p w14:paraId="5976FBA6">
      <w:pPr>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早餐：菜品6种，其中热菜2种（一道半荤菜，肉菜比例 3：7）、手拌菜3种、小菜1种；稀饭2种；牛奶1种（袋装纯奶）；五谷豆浆；主食2种（胡辣汤、馄饨、豆腐脑、米线、油茶等)、小吃1种（炸、蒸、烙类小吃）；鸡蛋1种（蒸、五香、煎），甜点不少于1种（面包、蛋糕等）。</w:t>
      </w:r>
    </w:p>
    <w:p w14:paraId="5A0C7AA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午餐：菜品不少于6种(3荤3素)，其中主荤菜1种（纯荤莱）、半荤菜（肉菜比例 3：7)2种、素菜3种；汤羹类不少于2个品种（一甜一咸），主食含米饭、面食（不少于2个品种)、馒头（花卷）、杂粮小吃（不少于1个品种）；甜点（不少于1种，每隔一日不重样)；水果不少于 2 种。</w:t>
      </w:r>
    </w:p>
    <w:p w14:paraId="5731025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晚餐：菜品3种(1荤2素)；主食不少于2种（稀饭1种、小吃1种）、饼类1种。</w:t>
      </w:r>
    </w:p>
    <w:p w14:paraId="1AF4617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餐厅厨师根据就餐规模和餐费标准制定餐谱，考虑就餐人员的口味以及季节的变化，保证每周菜品不重复，每周五下班之前提前排好下周食谱并交给采购人审核后公示。</w:t>
      </w:r>
    </w:p>
    <w:p w14:paraId="4CD13E36">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val="en-US" w:eastAsia="zh-CN"/>
        </w:rPr>
        <w:t>七</w:t>
      </w:r>
      <w:r>
        <w:rPr>
          <w:rFonts w:hint="eastAsia" w:ascii="仿宋" w:hAnsi="仿宋" w:eastAsia="仿宋" w:cs="仿宋"/>
          <w:b/>
          <w:bCs/>
          <w:color w:val="auto"/>
          <w:sz w:val="21"/>
          <w:szCs w:val="21"/>
          <w:highlight w:val="none"/>
        </w:rPr>
        <w:t>、服务人员的要求</w:t>
      </w:r>
    </w:p>
    <w:p w14:paraId="305B935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1、厨务人员工作时间要求</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早班05:30—14:00；晚班16:00—19:30。每周周一至周五为工作时间，双休日及节假日无特殊情况休息。</w:t>
      </w:r>
    </w:p>
    <w:p w14:paraId="0D95AE1E">
      <w:pPr>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2、管理级以上人员应具备3年以上的餐饮业相应管理服务经验，熟知厨房的运转与成本、安全控制。</w:t>
      </w:r>
    </w:p>
    <w:p w14:paraId="46AC3ED3">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3、厨师长、厨师具有3年（含</w:t>
      </w: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z w:val="21"/>
          <w:szCs w:val="21"/>
          <w:highlight w:val="none"/>
        </w:rPr>
        <w:t>年）以上相应工作经验，掌握两种以上风味菜肴的制作，保证出品质量及食品安全。</w:t>
      </w:r>
    </w:p>
    <w:p w14:paraId="662E35CD">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4、所有服务人员应保证身体健康、无传染性疾病、无刑事违法或处分犯罪记录；服务人员按岗位统一着装，言行规范，文明礼貌；所有从业人员经过岗前培训、健康检查合格且拥有有效的健康证。</w:t>
      </w:r>
    </w:p>
    <w:p w14:paraId="24BE2BA3">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val="en-US" w:eastAsia="zh-CN"/>
        </w:rPr>
        <w:t>八</w:t>
      </w:r>
      <w:r>
        <w:rPr>
          <w:rFonts w:hint="eastAsia" w:ascii="仿宋" w:hAnsi="仿宋" w:eastAsia="仿宋" w:cs="仿宋"/>
          <w:b/>
          <w:bCs/>
          <w:color w:val="auto"/>
          <w:sz w:val="21"/>
          <w:szCs w:val="21"/>
          <w:highlight w:val="none"/>
        </w:rPr>
        <w:t>、已具备的服务工作条件</w:t>
      </w:r>
    </w:p>
    <w:p w14:paraId="0B1AFD17">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1、采购人免费提供供餐场地、制作场地、餐厅及后厨设备、厨具及餐具，（一次性餐具除外），设备及餐具初次由采购人配齐，餐厅现有餐具设备见附件。</w:t>
      </w:r>
    </w:p>
    <w:p w14:paraId="01C110F8">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2、合同到期后具体以实际清点完资产由供应商向采购人进行移交；布菲炉由供应商提供，资产归供应商；运行后设备维修及餐具用品补充、增加均由服务商担负，采购人不再另行负担。</w:t>
      </w:r>
    </w:p>
    <w:p w14:paraId="6805B7B0">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3、采购人承担水、电、天然气、空调合理使用费用，供应商应节约水电和燃气费用，做到良好内控管理记录。</w:t>
      </w:r>
    </w:p>
    <w:p w14:paraId="62CFBDDC">
      <w:pPr>
        <w:keepNext w:val="0"/>
        <w:keepLines w:val="0"/>
        <w:pageBreakBefore w:val="0"/>
        <w:widowControl w:val="0"/>
        <w:kinsoku/>
        <w:wordWrap/>
        <w:overflowPunct w:val="0"/>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4、采购人免费提供一间办公用房，可适当提供员工宿舍供休息。</w:t>
      </w:r>
    </w:p>
    <w:p w14:paraId="35170EFA">
      <w:pPr>
        <w:keepNext w:val="0"/>
        <w:keepLines w:val="0"/>
        <w:pageBreakBefore w:val="0"/>
        <w:widowControl w:val="0"/>
        <w:kinsoku/>
        <w:wordWrap/>
        <w:overflowPunct w:val="0"/>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5、使用方在经营期间定期对厨房油烟管道清洁，对餐厅隔油池做清理，每月对餐厅、厨房、更衣室、办公室进行消杀一次。</w:t>
      </w:r>
    </w:p>
    <w:p w14:paraId="0C56DB4F">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6、低值易耗品配备及灭四害费用由服务商承担。服务商必须招聘具有专业灭四害的公司进行四害预防。</w:t>
      </w:r>
    </w:p>
    <w:p w14:paraId="26DB01D5">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7、厨具设备大型维修及增加由服务商提出需求，由采购人根据实际需求进行维修或增加配置。餐厅桌椅维修，灯光照明设备维修费用由服务商承担，油烟罩清洗机燃气报警装置维修维护费用由服务商承担。</w:t>
      </w:r>
    </w:p>
    <w:p w14:paraId="32270C98">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根据检查考核小组集中检查分数和日常检查考核综合得分为当月考核成绩，根据考核结果，如发生扣分现象或检查结果给采购人带来经济或形象损失的，采购人将依照相关规定及问题严重程度对供应商进行经济处罚。</w:t>
      </w:r>
    </w:p>
    <w:p w14:paraId="0B93C3A8">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val="en-US" w:eastAsia="zh-CN"/>
        </w:rPr>
        <w:t>九</w:t>
      </w:r>
      <w:r>
        <w:rPr>
          <w:rFonts w:hint="eastAsia" w:ascii="仿宋" w:hAnsi="仿宋" w:eastAsia="仿宋" w:cs="仿宋"/>
          <w:b/>
          <w:bCs/>
          <w:color w:val="auto"/>
          <w:sz w:val="21"/>
          <w:szCs w:val="21"/>
          <w:highlight w:val="none"/>
        </w:rPr>
        <w:t>、食材质量标准</w:t>
      </w:r>
    </w:p>
    <w:p w14:paraId="3CBB2A07">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1.采购带包装的食品时，禁止采购“三无”产品，即无“生产日期、保质期或有效食用截止日期、生产厂家”，三者缺一不可。</w:t>
      </w:r>
    </w:p>
    <w:p w14:paraId="5B3B1348">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2.禁止采购无《食品生产许可证》编号的产品，编号由英文字母“</w:t>
      </w:r>
      <w:r>
        <w:rPr>
          <w:rFonts w:hint="eastAsia" w:ascii="仿宋" w:hAnsi="仿宋" w:eastAsia="仿宋" w:cs="仿宋"/>
          <w:color w:val="auto"/>
          <w:sz w:val="21"/>
          <w:szCs w:val="21"/>
          <w:highlight w:val="none"/>
          <w:lang w:val="en-US" w:eastAsia="zh-CN"/>
        </w:rPr>
        <w:t>Q</w:t>
      </w:r>
      <w:r>
        <w:rPr>
          <w:rFonts w:hint="eastAsia" w:ascii="仿宋" w:hAnsi="仿宋" w:eastAsia="仿宋" w:cs="仿宋"/>
          <w:color w:val="auto"/>
          <w:sz w:val="21"/>
          <w:szCs w:val="21"/>
          <w:highlight w:val="none"/>
        </w:rPr>
        <w:t>S”加12位阿拉伯数字构成。</w:t>
      </w:r>
    </w:p>
    <w:p w14:paraId="5751ACF3">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3.食品原材料品质的基本要求和标准：(1）根据采购人对膳食的要求，按照合理和营养的原则来确定；(2)按照采购方就餐者对原料的食用习惯和食用价值确定。</w:t>
      </w:r>
    </w:p>
    <w:p w14:paraId="64FF8341">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4.服务商在经营期间完成政府部分下达的脱贫地区农副产品采购任务。</w:t>
      </w:r>
    </w:p>
    <w:p w14:paraId="05DA5F13">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5</w:t>
      </w:r>
      <w:r>
        <w:rPr>
          <w:rFonts w:hint="eastAsia" w:ascii="仿宋" w:hAnsi="仿宋" w:eastAsia="仿宋" w:cs="仿宋"/>
          <w:color w:val="auto"/>
          <w:sz w:val="21"/>
          <w:szCs w:val="21"/>
          <w:highlight w:val="none"/>
        </w:rPr>
        <w:t>.蔬菜类标准：</w:t>
      </w:r>
    </w:p>
    <w:p w14:paraId="55E98C63">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蔬菜农残要求符合</w:t>
      </w:r>
      <w:r>
        <w:rPr>
          <w:rFonts w:hint="eastAsia" w:ascii="仿宋" w:hAnsi="仿宋" w:eastAsia="仿宋" w:cs="仿宋"/>
          <w:color w:val="auto"/>
          <w:sz w:val="21"/>
          <w:szCs w:val="21"/>
          <w:highlight w:val="none"/>
          <w:lang w:val="en-US" w:eastAsia="zh-CN"/>
        </w:rPr>
        <w:t>G</w:t>
      </w:r>
      <w:r>
        <w:rPr>
          <w:rFonts w:hint="eastAsia" w:ascii="仿宋" w:hAnsi="仿宋" w:eastAsia="仿宋" w:cs="仿宋"/>
          <w:color w:val="auto"/>
          <w:sz w:val="21"/>
          <w:szCs w:val="21"/>
          <w:highlight w:val="none"/>
        </w:rPr>
        <w:t>B184061-2001农产品安全质量无公害蔬菜安全要求中最大限量标准。</w:t>
      </w:r>
      <w:r>
        <w:rPr>
          <w:rFonts w:hint="eastAsia" w:ascii="仿宋" w:hAnsi="仿宋" w:eastAsia="仿宋" w:cs="仿宋"/>
          <w:color w:val="auto"/>
          <w:sz w:val="21"/>
          <w:szCs w:val="21"/>
          <w:highlight w:val="none"/>
          <w:lang w:val="en-US" w:eastAsia="zh-CN"/>
        </w:rPr>
        <w:t>检验项目及标准如下：蔬菜中重金属、农药有害物质最大限量。</w:t>
      </w:r>
    </w:p>
    <w:p w14:paraId="55BDFD7F">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（2）蔬菜、瓜果类具体标准</w:t>
      </w:r>
    </w:p>
    <w:p w14:paraId="27EA80B8">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大白菜：新鲜洁白，白面无黑色斑点，里面无烂心、无开花、无坏叶；</w:t>
      </w:r>
    </w:p>
    <w:p w14:paraId="358BF811">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白萝卜：表皮光洁，无黑心、无空心、小的不低于0.5斤，大的不超过3斤；</w:t>
      </w:r>
    </w:p>
    <w:p w14:paraId="72B3AF51">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青笋：新鲜、通体均称，无竹节、无乱尾、无空心，叶片不能超过长度的1/3;</w:t>
      </w:r>
    </w:p>
    <w:p w14:paraId="4642E929">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尖椒：无异味，尾部新鲜、硬朗，长度不低于10公分；</w:t>
      </w:r>
    </w:p>
    <w:p w14:paraId="4199C38A">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圆椒：无异味，尾部新鲜、硬朗；</w:t>
      </w:r>
    </w:p>
    <w:p w14:paraId="3EC56D12">
      <w:pPr>
        <w:keepNext w:val="0"/>
        <w:keepLines w:val="0"/>
        <w:pageBreakBefore w:val="0"/>
        <w:widowControl w:val="0"/>
        <w:kinsoku/>
        <w:wordWrap/>
        <w:overflowPunct w:val="0"/>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红椒：无异味，尾部新鲜、硬朗、硬而不烂；</w:t>
      </w:r>
    </w:p>
    <w:p w14:paraId="327DF460">
      <w:pPr>
        <w:keepNext w:val="0"/>
        <w:keepLines w:val="0"/>
        <w:pageBreakBefore w:val="0"/>
        <w:widowControl w:val="0"/>
        <w:kinsoku/>
        <w:wordWrap/>
        <w:overflowPunct w:val="0"/>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包菜：1.5斤以上，无黄叶、虫叶、结实无烂心；</w:t>
      </w:r>
    </w:p>
    <w:p w14:paraId="5460F3DC">
      <w:pPr>
        <w:keepNext w:val="0"/>
        <w:keepLines w:val="0"/>
        <w:pageBreakBefore w:val="0"/>
        <w:widowControl w:val="0"/>
        <w:kinsoku/>
        <w:wordWrap/>
        <w:overflowPunct w:val="0"/>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蒜苔：长而匀称、绿色鲜艳、无暗斑、尾部老硬不能超过1寸，没有冻伤（中间抽看，防冻烂）；</w:t>
      </w:r>
    </w:p>
    <w:p w14:paraId="66FBCD55">
      <w:pPr>
        <w:keepNext w:val="0"/>
        <w:keepLines w:val="0"/>
        <w:pageBreakBefore w:val="0"/>
        <w:widowControl w:val="0"/>
        <w:kinsoku/>
        <w:wordWrap/>
        <w:overflowPunct w:val="0"/>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红萝卜：直径3-5cm,大而均匀、色泽鲜艳；</w:t>
      </w:r>
    </w:p>
    <w:p w14:paraId="6C031FED">
      <w:pPr>
        <w:keepNext w:val="0"/>
        <w:keepLines w:val="0"/>
        <w:pageBreakBefore w:val="0"/>
        <w:widowControl w:val="0"/>
        <w:kinsoku/>
        <w:wordWrap/>
        <w:overflowPunct w:val="0"/>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豆角：新鲜、长度40公分左右，长而结实，折断为实心、无虫；</w:t>
      </w:r>
    </w:p>
    <w:p w14:paraId="64A5B264">
      <w:pPr>
        <w:keepNext w:val="0"/>
        <w:keepLines w:val="0"/>
        <w:pageBreakBefore w:val="0"/>
        <w:widowControl w:val="0"/>
        <w:kinsoku/>
        <w:wordWrap/>
        <w:overflowPunct w:val="0"/>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花菜：直径10cm,洁白而无黑点斑点，箱装则防冻烂；</w:t>
      </w:r>
    </w:p>
    <w:p w14:paraId="1B92C33D">
      <w:pPr>
        <w:keepNext w:val="0"/>
        <w:keepLines w:val="0"/>
        <w:pageBreakBefore w:val="0"/>
        <w:widowControl w:val="0"/>
        <w:kinsoku/>
        <w:wordWrap/>
        <w:overflowPunct w:val="0"/>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西兰花：表面蓓蕾平展，无开花现象，无异味臭味，外表如有潮，表色则证明变质；</w:t>
      </w:r>
    </w:p>
    <w:p w14:paraId="09602309">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青瓜：长而直、带刺、折断为实心无籽，两头大小一致；</w:t>
      </w:r>
    </w:p>
    <w:p w14:paraId="7B8D1A23">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玉米棒：个大，粒满，老嫩适中，防虫咬</w:t>
      </w:r>
    </w:p>
    <w:p w14:paraId="5FDDBFEB">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南瓜：金黄色、红心、表皮如有指头大小黑块，则已变质</w:t>
      </w:r>
    </w:p>
    <w:p w14:paraId="46BCAB5A">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生姜：个大、金黄色、无芽、黑色则烂，白色则嫩</w:t>
      </w:r>
    </w:p>
    <w:p w14:paraId="20376E41">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丝瓜：头尾粗细较均匀，拿起有弹力</w:t>
      </w:r>
    </w:p>
    <w:p w14:paraId="056BF006">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西芹：嫩绿色折断无筋，硬而不青</w:t>
      </w:r>
    </w:p>
    <w:p w14:paraId="281FDCBD">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西红柿：红而不软，硬而不青</w:t>
      </w:r>
    </w:p>
    <w:p w14:paraId="4EBD9B16">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kern w:val="2"/>
          <w:sz w:val="21"/>
          <w:szCs w:val="21"/>
          <w:highlight w:val="none"/>
          <w:lang w:val="en-US" w:eastAsia="zh-CN" w:bidi="ar-SA"/>
        </w:rPr>
        <w:t>6.</w:t>
      </w:r>
      <w:r>
        <w:rPr>
          <w:rFonts w:hint="eastAsia" w:ascii="仿宋" w:hAnsi="仿宋" w:eastAsia="仿宋" w:cs="仿宋"/>
          <w:color w:val="auto"/>
          <w:sz w:val="21"/>
          <w:szCs w:val="21"/>
          <w:highlight w:val="none"/>
          <w:lang w:val="en-US" w:eastAsia="zh-CN"/>
        </w:rPr>
        <w:t>腌菜、泡菜类验收标准：</w:t>
      </w:r>
    </w:p>
    <w:p w14:paraId="74C35A7A">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首次供货提供保证函、每一年至少提供一次当年官方检验报告。符合GB2714 及GB2760的规定，亚硝酸盐≤20mg/kg;柠檬黄≤0.1mg/kg;苯甲酸≤0.5g/kg。具有该腌菜、泡菜应有的色泽和气味。无白花、无腐烂、变质、酸臭味。</w:t>
      </w:r>
    </w:p>
    <w:p w14:paraId="5296DEA5">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left="0" w:leftChars="0"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kern w:val="2"/>
          <w:sz w:val="21"/>
          <w:szCs w:val="21"/>
          <w:highlight w:val="none"/>
          <w:lang w:val="en-US" w:eastAsia="zh-CN" w:bidi="ar-SA"/>
        </w:rPr>
        <w:t>7.</w:t>
      </w:r>
      <w:r>
        <w:rPr>
          <w:rFonts w:hint="eastAsia" w:ascii="仿宋" w:hAnsi="仿宋" w:eastAsia="仿宋" w:cs="仿宋"/>
          <w:color w:val="auto"/>
          <w:sz w:val="21"/>
          <w:szCs w:val="21"/>
          <w:highlight w:val="none"/>
          <w:lang w:val="en-US" w:eastAsia="zh-CN"/>
        </w:rPr>
        <w:t>猪肉类标准：</w:t>
      </w:r>
    </w:p>
    <w:p w14:paraId="2A4ED159">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（1）猪肉类标准：每批次必须有兽医检疫合格证明，首次供货前提供兽药残留达标、无禁药物保证函，每年提供至少一次当年官方检验报告。符合GB2707-20鲜（冻）畜肉卫生标准。印章清晰清楚可查。</w:t>
      </w:r>
    </w:p>
    <w:p w14:paraId="712E8324">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（2）猪肉各部位肉的具体标准：</w:t>
      </w:r>
    </w:p>
    <w:p w14:paraId="2FFD2ABC">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五花肉：要新鲜、皮薄、肉质好，不能太肥，一般二指厚为准；</w:t>
      </w:r>
    </w:p>
    <w:p w14:paraId="4D29B4D5">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前上肉：五花肉，小里几（腰内肉），梅花肉皆属上肉，不能有淋巴瘤，不带亲腿肉，颜色要好，不能有淤血，猪毛；</w:t>
      </w:r>
    </w:p>
    <w:p w14:paraId="1C239050">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后上肉：不能太肥，要瘦肉多，无淋巴瘤，皮无斑点；</w:t>
      </w:r>
    </w:p>
    <w:p w14:paraId="39609A98">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后瘦肉：肉色要好，不能有淤血，不能有肥肉、碎骨，表面上不能有发白积水；</w:t>
      </w:r>
    </w:p>
    <w:p w14:paraId="5A74E667">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 xml:space="preserve">肥肉：厚度为三公分，一公寸宽，不要有瘦肉； </w:t>
      </w:r>
    </w:p>
    <w:p w14:paraId="6A71E290">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8.牛肉类标准：</w:t>
      </w:r>
    </w:p>
    <w:p w14:paraId="4E9AC8FB">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（1）每批次必须有兽医检疫合格证明，首次供货前提供兽药残留达标、无禁用药物保证函，每年提供至少一次当年官方检验报告，符合GB2707-2005鲜（冻）畜肉卫生标准。印章清晰清楚可查。</w:t>
      </w:r>
    </w:p>
    <w:p w14:paraId="3D645046">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（2）牛肉各部位标准</w:t>
      </w:r>
    </w:p>
    <w:p w14:paraId="3976C1D7">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瘦牛肉：呈均匀的鲜红色或深红色、有光泽；</w:t>
      </w:r>
    </w:p>
    <w:p w14:paraId="3103D13B">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脂肪：呈乳白色或微黄色，具有牛肉正常气味，无异味，瘦肉切面纹理清晰，皮下脂肪适度、均匀、形态丰满；肉质紧密、有弹性、表面湿润、不黏手、无煮水；</w:t>
      </w:r>
    </w:p>
    <w:p w14:paraId="7D249B51">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牛腩：色泽新鲜、无杂质、无异味、无注水。</w:t>
      </w:r>
    </w:p>
    <w:p w14:paraId="70883077">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9.畜禽类验收标准</w:t>
      </w:r>
    </w:p>
    <w:p w14:paraId="34952804">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每批次必须有兽医检疫合格证明，首次供货前提供兽药残留达标、无禁用药物保证函，每年提供至少一次当年官方检验报告。符合GB2707-2005鲜（冻）畜肉卫生标准及GB16869-2005鲜、冻禽产品卫生标准。印章清晰清楚可查。</w:t>
      </w:r>
    </w:p>
    <w:p w14:paraId="6484CA0B">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畜禽类肉的具体标准：外观新鲜肉色泽光润，肉的断面呈淡红色，稍湿润，但不粘，肉的液体透明；硬度新鲜肉的刀断面，肉质紧密、富有弹性，用手按后能迅速恢复原状，气味新鲜肉具有每种家畜肉的特有气味；脂肪新鲜肉的脂肪分布均匀，没有酸败和臭味，并保持原有色泽。</w:t>
      </w:r>
    </w:p>
    <w:p w14:paraId="31071A27">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10.禽蛋类标准：</w:t>
      </w:r>
    </w:p>
    <w:p w14:paraId="44371936">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蛋外壳有霜状粉末，壳表面比较粗糙，但有光泽；用光照，能透光，呈桔红色，气室小而透亮，蛋黄轮廓，将蛋轻轻摇动，听不到声音或感觉不到振动的为新鲜蛋。</w:t>
      </w:r>
    </w:p>
    <w:p w14:paraId="0BEC04BF">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11.鱼类等产品质量鉴定标准：</w:t>
      </w:r>
    </w:p>
    <w:p w14:paraId="340E7106">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（1）首次供货前提供保证函、每一年至少提供一次当年官方检验报告。符合GB2733-2005鲜冻动物性水产品卫生标准，检验合格服务商名录，来源于合格服务商。</w:t>
      </w:r>
    </w:p>
    <w:p w14:paraId="71F1A564">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（2）鲜鱼类眼睛凸起，澄清有光泽；不新鲜的鱼眼睛凹陷，色泽浑浊不清，呈微蓝色；鱼鳃紧闭，鳃片呈鲜红色，无粘液和污物；鳞片整齐，排列紧密，有黏液和光泽，轮层明显；</w:t>
      </w:r>
    </w:p>
    <w:p w14:paraId="4AC04916">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（3）虾类虾头尾完整，有一定的弯曲度、虾身较挺、虾皮壳发亮，呈青白色，新鲜虾肉质坚实、细嫩；</w:t>
      </w:r>
    </w:p>
    <w:p w14:paraId="45967840">
      <w:pPr>
        <w:keepNext w:val="0"/>
        <w:keepLines w:val="0"/>
        <w:pageBreakBefore w:val="0"/>
        <w:widowControl w:val="0"/>
        <w:kinsoku/>
        <w:wordWrap/>
        <w:overflowPunct w:val="0"/>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（4）虾仁必须冰冻，而保持其新鲜程度。冻虾仁的外包装完整、清洁。</w:t>
      </w:r>
    </w:p>
    <w:p w14:paraId="059334AC">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12.干货类标准：干爽、不霉烂、整齐、均匀、完整无虫蛀、无杂质、保持应有的色泽；</w:t>
      </w:r>
    </w:p>
    <w:p w14:paraId="21DCAEBE">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13.稻米、面粉、淀粉标准：</w:t>
      </w:r>
    </w:p>
    <w:p w14:paraId="20F1250E">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（1）符合GB2715-2005粮食卫生标准及GB1355-1986小麦粉标准。面粉的品质标准：面粉含水量在12-13%之间，有正常气味，颜色较淡。</w:t>
      </w:r>
    </w:p>
    <w:p w14:paraId="6C290913">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（2）稻米的质量检验标准：有清香味和光泽、无米糠和其它杂质、无虫草害无异味、无霉味，用手摸时滑爽、干燥；米粒形均匀、整齐、重量大，没有碎米和爆腰米；没有腹白的米。</w:t>
      </w:r>
    </w:p>
    <w:p w14:paraId="653C7756">
      <w:pPr>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14.定型包装类食品标准：凡是带有包装的食品，其质量卫生标准除符合国家规定的质量卫生标准外，还应包括以下方面：包装类食品必须包装整洁、完美；包装食品其包装盒或标签上须注明食品名称、生产厂家、生产地址、生产日期、保质期；包装食品的内容和重量必须和包装上标明的完全一致。</w:t>
      </w:r>
    </w:p>
    <w:p w14:paraId="21BC2CE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15.冻品类的标准：</w:t>
      </w:r>
    </w:p>
    <w:p w14:paraId="393A4B8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（1）首次供货前提供保证函、每一年至少提供一次当年官方检验报告。符合2707-2005鲜（冻）畜肉卫生标准及GB16869-2005鲜、冻禽产品卫生标准。查验合格服务商名录，来源于合格服务商。</w:t>
      </w:r>
    </w:p>
    <w:p w14:paraId="43613FD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按照冻品的共同特征，凡是冻肉类产品必须包装完整并有生产厂址和生产日期；冻肉类产品中冻肉和冻助排必须有产品卫生检疫标准；冻肉类产品质量必须合乎验收标准（如新鲜度等）；冻肉类产品中间不能有过多冰块、冻肉类产品重量必须和包装箱上标明的重量一致。</w:t>
      </w:r>
    </w:p>
    <w:p w14:paraId="5E18B81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16.食用油脂的种类及鉴别标准：首次供货前提供保证函、每一年至少提供一次当年官方检验报告。符合GB2716-2005食用植物油卫生标准，及GB10146-2005食用动物油脂卫生标准。检合格服务商名录，来源于合格服务商。</w:t>
      </w:r>
    </w:p>
    <w:p w14:paraId="14E5D1E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17.其他未明确的原材料采购标准，按采购人要求标准采购。以上要求若国家有最新标准的按最新标准执行。</w:t>
      </w:r>
    </w:p>
    <w:p w14:paraId="356A5B7C">
      <w:pPr>
        <w:keepNext w:val="0"/>
        <w:keepLines w:val="0"/>
        <w:pageBreakBefore w:val="0"/>
        <w:wordWrap/>
        <w:overflowPunct w:val="0"/>
        <w:topLinePunct w:val="0"/>
        <w:bidi w:val="0"/>
        <w:snapToGrid w:val="0"/>
        <w:spacing w:line="360" w:lineRule="auto"/>
        <w:jc w:val="both"/>
        <w:rPr>
          <w:rFonts w:hint="eastAsia" w:ascii="仿宋" w:hAnsi="仿宋" w:eastAsia="仿宋" w:cs="仿宋"/>
          <w:b/>
          <w:bCs w:val="0"/>
          <w:color w:val="auto"/>
          <w:sz w:val="21"/>
          <w:szCs w:val="21"/>
          <w:highlight w:val="none"/>
        </w:rPr>
      </w:pPr>
      <w:r>
        <w:rPr>
          <w:rFonts w:hint="eastAsia" w:ascii="仿宋" w:hAnsi="仿宋" w:eastAsia="仿宋" w:cs="仿宋"/>
          <w:b/>
          <w:bCs w:val="0"/>
          <w:color w:val="auto"/>
          <w:sz w:val="21"/>
          <w:szCs w:val="21"/>
          <w:highlight w:val="none"/>
        </w:rPr>
        <w:t>餐厅考核管理细则</w:t>
      </w:r>
    </w:p>
    <w:tbl>
      <w:tblPr>
        <w:tblStyle w:val="18"/>
        <w:tblW w:w="825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17"/>
        <w:gridCol w:w="539"/>
        <w:gridCol w:w="5655"/>
        <w:gridCol w:w="1346"/>
      </w:tblGrid>
      <w:tr w14:paraId="1A5C61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717" w:type="dxa"/>
            <w:noWrap w:val="0"/>
            <w:vAlign w:val="center"/>
          </w:tcPr>
          <w:p w14:paraId="01CAA00D">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检查</w:t>
            </w:r>
          </w:p>
          <w:p w14:paraId="597F6D8F">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内容</w:t>
            </w:r>
          </w:p>
        </w:tc>
        <w:tc>
          <w:tcPr>
            <w:tcW w:w="539" w:type="dxa"/>
            <w:noWrap w:val="0"/>
            <w:vAlign w:val="center"/>
          </w:tcPr>
          <w:p w14:paraId="2BD7EA75">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分值</w:t>
            </w:r>
          </w:p>
        </w:tc>
        <w:tc>
          <w:tcPr>
            <w:tcW w:w="5655" w:type="dxa"/>
            <w:noWrap w:val="0"/>
            <w:vAlign w:val="center"/>
          </w:tcPr>
          <w:p w14:paraId="1198580E">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检查评分标准</w:t>
            </w:r>
          </w:p>
        </w:tc>
        <w:tc>
          <w:tcPr>
            <w:tcW w:w="1346" w:type="dxa"/>
            <w:noWrap w:val="0"/>
            <w:vAlign w:val="center"/>
          </w:tcPr>
          <w:p w14:paraId="58AF8C8D">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扣分说明</w:t>
            </w:r>
          </w:p>
        </w:tc>
      </w:tr>
      <w:tr w14:paraId="79BA88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717" w:type="dxa"/>
            <w:noWrap w:val="0"/>
            <w:vAlign w:val="center"/>
          </w:tcPr>
          <w:p w14:paraId="0480E8BC">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餐厅卫生要求</w:t>
            </w:r>
          </w:p>
        </w:tc>
        <w:tc>
          <w:tcPr>
            <w:tcW w:w="539" w:type="dxa"/>
            <w:noWrap w:val="0"/>
            <w:vAlign w:val="center"/>
          </w:tcPr>
          <w:p w14:paraId="67593003">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5分</w:t>
            </w:r>
          </w:p>
        </w:tc>
        <w:tc>
          <w:tcPr>
            <w:tcW w:w="5655" w:type="dxa"/>
            <w:noWrap w:val="0"/>
            <w:vAlign w:val="center"/>
          </w:tcPr>
          <w:p w14:paraId="2380B79B">
            <w:pPr>
              <w:keepNext w:val="0"/>
              <w:keepLines/>
              <w:pageBreakBefore w:val="0"/>
              <w:widowControl w:val="0"/>
              <w:kinsoku/>
              <w:wordWrap/>
              <w:overflowPunct/>
              <w:topLinePunct w:val="0"/>
              <w:autoSpaceDE/>
              <w:autoSpaceDN/>
              <w:bidi w:val="0"/>
              <w:adjustRightInd/>
              <w:snapToGrid w:val="0"/>
              <w:spacing w:line="288" w:lineRule="auto"/>
              <w:jc w:val="left"/>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餐厅桌、椅摆放整齐。桌面、地面干净无油污。（2分）</w:t>
            </w:r>
          </w:p>
          <w:p w14:paraId="30ED879F">
            <w:pPr>
              <w:keepNext w:val="0"/>
              <w:keepLines/>
              <w:pageBreakBefore w:val="0"/>
              <w:widowControl w:val="0"/>
              <w:kinsoku/>
              <w:wordWrap/>
              <w:overflowPunct/>
              <w:topLinePunct w:val="0"/>
              <w:autoSpaceDE/>
              <w:autoSpaceDN/>
              <w:bidi w:val="0"/>
              <w:adjustRightInd/>
              <w:snapToGrid w:val="0"/>
              <w:spacing w:line="288" w:lineRule="auto"/>
              <w:jc w:val="left"/>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门、窗干净明亮，环境干净无垃爱。（2分）</w:t>
            </w:r>
          </w:p>
          <w:p w14:paraId="67F40135">
            <w:pPr>
              <w:keepNext w:val="0"/>
              <w:keepLines/>
              <w:pageBreakBefore w:val="0"/>
              <w:widowControl w:val="0"/>
              <w:kinsoku/>
              <w:wordWrap/>
              <w:overflowPunct/>
              <w:topLinePunct w:val="0"/>
              <w:autoSpaceDE/>
              <w:autoSpaceDN/>
              <w:bidi w:val="0"/>
              <w:adjustRightInd/>
              <w:snapToGrid w:val="0"/>
              <w:spacing w:line="288" w:lineRule="auto"/>
              <w:jc w:val="left"/>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zh-CN"/>
              </w:rPr>
              <w:t>清洁工具不能随意放在餐厅里。</w:t>
            </w:r>
            <w:r>
              <w:rPr>
                <w:rFonts w:hint="eastAsia" w:ascii="仿宋" w:hAnsi="仿宋" w:eastAsia="仿宋" w:cs="仿宋"/>
                <w:color w:val="auto"/>
                <w:sz w:val="21"/>
                <w:szCs w:val="21"/>
                <w:highlight w:val="none"/>
                <w:lang w:eastAsia="en-US"/>
              </w:rPr>
              <w:t>（1分）</w:t>
            </w:r>
          </w:p>
        </w:tc>
        <w:tc>
          <w:tcPr>
            <w:tcW w:w="1346" w:type="dxa"/>
            <w:noWrap w:val="0"/>
            <w:vAlign w:val="center"/>
          </w:tcPr>
          <w:p w14:paraId="511A109D">
            <w:pPr>
              <w:keepNext w:val="0"/>
              <w:keepLines/>
              <w:pageBreakBefore w:val="0"/>
              <w:widowControl w:val="0"/>
              <w:kinsoku/>
              <w:wordWrap/>
              <w:overflowPunct/>
              <w:topLinePunct w:val="0"/>
              <w:autoSpaceDE/>
              <w:autoSpaceDN/>
              <w:bidi w:val="0"/>
              <w:adjustRightInd/>
              <w:snapToGrid w:val="0"/>
              <w:spacing w:line="288" w:lineRule="auto"/>
              <w:jc w:val="left"/>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每项不合格扣0.5分，直至扣完。</w:t>
            </w:r>
          </w:p>
        </w:tc>
      </w:tr>
      <w:tr w14:paraId="3835E5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45" w:hRule="atLeast"/>
        </w:trPr>
        <w:tc>
          <w:tcPr>
            <w:tcW w:w="717" w:type="dxa"/>
            <w:noWrap w:val="0"/>
            <w:vAlign w:val="center"/>
          </w:tcPr>
          <w:p w14:paraId="0B8F0C03">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主食加工间卫生要求</w:t>
            </w:r>
          </w:p>
        </w:tc>
        <w:tc>
          <w:tcPr>
            <w:tcW w:w="539" w:type="dxa"/>
            <w:noWrap w:val="0"/>
            <w:vAlign w:val="center"/>
          </w:tcPr>
          <w:p w14:paraId="702C70C5">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11分</w:t>
            </w:r>
          </w:p>
        </w:tc>
        <w:tc>
          <w:tcPr>
            <w:tcW w:w="5655" w:type="dxa"/>
            <w:noWrap w:val="0"/>
            <w:vAlign w:val="center"/>
          </w:tcPr>
          <w:p w14:paraId="61094A13">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米、面放置离墙、离地面。（1分）</w:t>
            </w:r>
          </w:p>
          <w:p w14:paraId="0D6C1073">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锅台、地面、案面、墙壁干净无油污，保持水池干净。（1分）</w:t>
            </w:r>
          </w:p>
          <w:p w14:paraId="462C3FD6">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机械设备、厨房用具用后及时清洗保持干净。（5分）</w:t>
            </w:r>
          </w:p>
          <w:p w14:paraId="684B1C51">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工作台柜、冰箱按食物类型分层摆放到位。（1分）</w:t>
            </w:r>
          </w:p>
          <w:p w14:paraId="1CB3B943">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加工好的食物与正在加工的食物须分开操作、分开摆放。（1 分）</w:t>
            </w:r>
          </w:p>
          <w:p w14:paraId="1A44A0E5">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餐后必须及时清理餐桌、饭盘，保持餐桌、饭盘的干净卫生。（1分）</w:t>
            </w:r>
          </w:p>
          <w:p w14:paraId="7876C5FE">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zh-CN"/>
              </w:rPr>
              <w:t>操作同内所有下水道必须保持清洁畅通。</w:t>
            </w:r>
            <w:r>
              <w:rPr>
                <w:rFonts w:hint="eastAsia" w:ascii="仿宋" w:hAnsi="仿宋" w:eastAsia="仿宋" w:cs="仿宋"/>
                <w:color w:val="auto"/>
                <w:sz w:val="21"/>
                <w:szCs w:val="21"/>
                <w:highlight w:val="none"/>
                <w:lang w:eastAsia="en-US"/>
              </w:rPr>
              <w:t>（1分）</w:t>
            </w:r>
          </w:p>
        </w:tc>
        <w:tc>
          <w:tcPr>
            <w:tcW w:w="1346" w:type="dxa"/>
            <w:noWrap w:val="0"/>
            <w:vAlign w:val="center"/>
          </w:tcPr>
          <w:p w14:paraId="7EAF0D3B">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每一项不合格扣0.5分、直至扣完。</w:t>
            </w:r>
          </w:p>
        </w:tc>
      </w:tr>
      <w:tr w14:paraId="0760D9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717" w:type="dxa"/>
            <w:noWrap w:val="0"/>
            <w:vAlign w:val="center"/>
          </w:tcPr>
          <w:p w14:paraId="52BBD319">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副食加工间卫生要求</w:t>
            </w:r>
          </w:p>
        </w:tc>
        <w:tc>
          <w:tcPr>
            <w:tcW w:w="539" w:type="dxa"/>
            <w:noWrap w:val="0"/>
            <w:vAlign w:val="center"/>
          </w:tcPr>
          <w:p w14:paraId="4A3FAA9F">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7分</w:t>
            </w:r>
          </w:p>
        </w:tc>
        <w:tc>
          <w:tcPr>
            <w:tcW w:w="5655" w:type="dxa"/>
            <w:noWrap w:val="0"/>
            <w:vAlign w:val="center"/>
          </w:tcPr>
          <w:p w14:paraId="0443ED8B">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所有洗切好的蔬菜与加工好的荤肉类须全部上架摆放。（1分）</w:t>
            </w:r>
          </w:p>
          <w:p w14:paraId="35BB65A8">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加工成熟的食物与未加工成熟的食物应分开加工、摆放。（2 分）</w:t>
            </w:r>
          </w:p>
          <w:p w14:paraId="2E642EA8">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工作台柜擦拭干净，东西按类摆放，冰箱生、热分开、定期除霜，标志明显。（2分）</w:t>
            </w:r>
          </w:p>
          <w:p w14:paraId="15BA1C48">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锅台、调料盒干净无杂物。（1分）</w:t>
            </w:r>
          </w:p>
          <w:p w14:paraId="161598F0">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zh-CN"/>
              </w:rPr>
              <w:t>装生菜的盘、盆不能直接装成品菜。</w:t>
            </w:r>
            <w:r>
              <w:rPr>
                <w:rFonts w:hint="eastAsia" w:ascii="仿宋" w:hAnsi="仿宋" w:eastAsia="仿宋" w:cs="仿宋"/>
                <w:color w:val="auto"/>
                <w:sz w:val="21"/>
                <w:szCs w:val="21"/>
                <w:highlight w:val="none"/>
                <w:lang w:eastAsia="en-US"/>
              </w:rPr>
              <w:t>（1分）</w:t>
            </w:r>
          </w:p>
        </w:tc>
        <w:tc>
          <w:tcPr>
            <w:tcW w:w="1346" w:type="dxa"/>
            <w:noWrap w:val="0"/>
            <w:vAlign w:val="center"/>
          </w:tcPr>
          <w:p w14:paraId="2FA06CDC">
            <w:pPr>
              <w:keepNext w:val="0"/>
              <w:keepLines/>
              <w:pageBreakBefore w:val="0"/>
              <w:widowControl w:val="0"/>
              <w:kinsoku/>
              <w:wordWrap/>
              <w:overflowPunct/>
              <w:topLinePunct w:val="0"/>
              <w:autoSpaceDE/>
              <w:autoSpaceDN/>
              <w:bidi w:val="0"/>
              <w:adjustRightInd/>
              <w:snapToGrid w:val="0"/>
              <w:spacing w:line="288" w:lineRule="auto"/>
              <w:jc w:val="left"/>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第一、四、五项不合格扣0.5分，直至扣完。第二、三项不合格第二、每项扣1分。</w:t>
            </w:r>
          </w:p>
        </w:tc>
      </w:tr>
      <w:tr w14:paraId="04800D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trPr>
        <w:tc>
          <w:tcPr>
            <w:tcW w:w="717" w:type="dxa"/>
            <w:noWrap w:val="0"/>
            <w:vAlign w:val="center"/>
          </w:tcPr>
          <w:p w14:paraId="1E76C828">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粗加工间卫生要求</w:t>
            </w:r>
          </w:p>
        </w:tc>
        <w:tc>
          <w:tcPr>
            <w:tcW w:w="539" w:type="dxa"/>
            <w:noWrap w:val="0"/>
            <w:vAlign w:val="center"/>
          </w:tcPr>
          <w:p w14:paraId="4002DEDB">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7分</w:t>
            </w:r>
          </w:p>
        </w:tc>
        <w:tc>
          <w:tcPr>
            <w:tcW w:w="5655" w:type="dxa"/>
            <w:noWrap w:val="0"/>
            <w:vAlign w:val="center"/>
          </w:tcPr>
          <w:p w14:paraId="5126FE45">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所有毛菜须整理干净无杂物。烂叶，上架摆放整齐。叶菜类蔬菜须先打捆择拣干净，然后在进行清洗，保证洗净，蔬菜无泥沙，无杂物，无黄叶（如青菜、菠菜、韭菜、油麦菜、花蒿、芹菜等）（2分）</w:t>
            </w:r>
          </w:p>
          <w:p w14:paraId="6622F47C">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根茎类与水果类蔬菜不能只用水一冲洗，必须倒入池中彻底清洗干净。（1分）</w:t>
            </w:r>
          </w:p>
          <w:p w14:paraId="33B06B6E">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洗好准备切配的蔬菜不能直接倒入在案柜上加工。（1分）</w:t>
            </w:r>
          </w:p>
          <w:p w14:paraId="376CAC08">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保持菜案面干净卫生及时清理菜头烂叶等杂物。（1分）</w:t>
            </w:r>
          </w:p>
          <w:p w14:paraId="0248FF43">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菜筐定期清洗，保持干净现本色。（1分）</w:t>
            </w:r>
          </w:p>
          <w:p w14:paraId="353FF732">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zh-CN"/>
              </w:rPr>
              <w:t>保持菜墩干净卫生无霉点，每餐操作完毕后洗净立起摆放，保持干燥。</w:t>
            </w:r>
            <w:r>
              <w:rPr>
                <w:rFonts w:hint="eastAsia" w:ascii="仿宋" w:hAnsi="仿宋" w:eastAsia="仿宋" w:cs="仿宋"/>
                <w:color w:val="auto"/>
                <w:sz w:val="21"/>
                <w:szCs w:val="21"/>
                <w:highlight w:val="none"/>
                <w:lang w:eastAsia="en-US"/>
              </w:rPr>
              <w:t>（1分）</w:t>
            </w:r>
          </w:p>
        </w:tc>
        <w:tc>
          <w:tcPr>
            <w:tcW w:w="1346" w:type="dxa"/>
            <w:noWrap w:val="0"/>
            <w:vAlign w:val="center"/>
          </w:tcPr>
          <w:p w14:paraId="13F7ACCD">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第一项每有 一项不合格 直接扣 2 分， 第二、三、四、五、六每项不合格扣 1 分。</w:t>
            </w:r>
          </w:p>
        </w:tc>
      </w:tr>
      <w:tr w14:paraId="53EF54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2" w:hRule="atLeast"/>
        </w:trPr>
        <w:tc>
          <w:tcPr>
            <w:tcW w:w="717" w:type="dxa"/>
            <w:noWrap w:val="0"/>
            <w:vAlign w:val="center"/>
          </w:tcPr>
          <w:p w14:paraId="7E87C945">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个人卫生要求</w:t>
            </w:r>
          </w:p>
        </w:tc>
        <w:tc>
          <w:tcPr>
            <w:tcW w:w="539" w:type="dxa"/>
            <w:noWrap w:val="0"/>
            <w:vAlign w:val="center"/>
          </w:tcPr>
          <w:p w14:paraId="273C8336">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6分</w:t>
            </w:r>
          </w:p>
        </w:tc>
        <w:tc>
          <w:tcPr>
            <w:tcW w:w="5655" w:type="dxa"/>
            <w:noWrap w:val="0"/>
            <w:vAlign w:val="center"/>
          </w:tcPr>
          <w:p w14:paraId="40800AA4">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员工上班时衣帽、围裙穿戴整洁，似戴工牌号。（1分）</w:t>
            </w:r>
          </w:p>
          <w:p w14:paraId="0AACF831">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操作人员讲究卫生，不留染长指甲，且不戴首饰。（1分）</w:t>
            </w:r>
          </w:p>
          <w:p w14:paraId="34188926">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所有上岗人员须有健康证。（2分）</w:t>
            </w:r>
          </w:p>
          <w:p w14:paraId="368E06F4">
            <w:pPr>
              <w:keepNext w:val="0"/>
              <w:keepLines/>
              <w:pageBreakBefore w:val="0"/>
              <w:widowControl w:val="0"/>
              <w:kinsoku/>
              <w:wordWrap/>
              <w:overflowPunct/>
              <w:topLinePunct w:val="0"/>
              <w:autoSpaceDE/>
              <w:autoSpaceDN/>
              <w:bidi w:val="0"/>
              <w:adjustRightInd/>
              <w:snapToGrid w:val="0"/>
              <w:spacing w:line="288" w:lineRule="auto"/>
              <w:jc w:val="left"/>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男员工不得留长胡须、长头发；女员工头发不得露出帽子。（1分）</w:t>
            </w:r>
          </w:p>
          <w:p w14:paraId="3FD41488">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zh-CN"/>
              </w:rPr>
              <w:t>不得在操作间里面吸烟，保持衣柜整洁。</w:t>
            </w:r>
            <w:r>
              <w:rPr>
                <w:rFonts w:hint="eastAsia" w:ascii="仿宋" w:hAnsi="仿宋" w:eastAsia="仿宋" w:cs="仿宋"/>
                <w:color w:val="auto"/>
                <w:sz w:val="21"/>
                <w:szCs w:val="21"/>
                <w:highlight w:val="none"/>
                <w:lang w:eastAsia="en-US"/>
              </w:rPr>
              <w:t>(1分)</w:t>
            </w:r>
          </w:p>
        </w:tc>
        <w:tc>
          <w:tcPr>
            <w:tcW w:w="1346" w:type="dxa"/>
            <w:noWrap w:val="0"/>
            <w:vAlign w:val="center"/>
          </w:tcPr>
          <w:p w14:paraId="1877E33C">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zh-CN"/>
              </w:rPr>
              <w:t>第1、2、4、5 条每项不合格扣 0.5分，直至扣完。</w:t>
            </w:r>
            <w:r>
              <w:rPr>
                <w:rFonts w:hint="eastAsia" w:ascii="仿宋" w:hAnsi="仿宋" w:eastAsia="仿宋" w:cs="仿宋"/>
                <w:color w:val="auto"/>
                <w:sz w:val="21"/>
                <w:szCs w:val="21"/>
                <w:highlight w:val="none"/>
                <w:lang w:eastAsia="en-US"/>
              </w:rPr>
              <w:t>第3条少一证扣2分。</w:t>
            </w:r>
          </w:p>
        </w:tc>
      </w:tr>
      <w:tr w14:paraId="398E94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2" w:hRule="atLeast"/>
        </w:trPr>
        <w:tc>
          <w:tcPr>
            <w:tcW w:w="717" w:type="dxa"/>
            <w:noWrap w:val="0"/>
            <w:vAlign w:val="center"/>
          </w:tcPr>
          <w:p w14:paraId="490D42C2">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zh-CN"/>
              </w:rPr>
              <w:t>前台售饭与售饭人员的卫生要求</w:t>
            </w:r>
          </w:p>
        </w:tc>
        <w:tc>
          <w:tcPr>
            <w:tcW w:w="539" w:type="dxa"/>
            <w:noWrap w:val="0"/>
            <w:vAlign w:val="center"/>
          </w:tcPr>
          <w:p w14:paraId="04DBAF2C">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5分</w:t>
            </w:r>
          </w:p>
        </w:tc>
        <w:tc>
          <w:tcPr>
            <w:tcW w:w="5655" w:type="dxa"/>
            <w:noWrap w:val="0"/>
            <w:vAlign w:val="center"/>
          </w:tcPr>
          <w:p w14:paraId="4DE5476B">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操作台、工作台、摆放整齐且干净。（0.5分）</w:t>
            </w:r>
          </w:p>
          <w:p w14:paraId="0F4C34A3">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售饭台面干净无菜渍、菜盆、菜盘边擦拭干净。（1分）</w:t>
            </w:r>
          </w:p>
          <w:p w14:paraId="3373332D">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售饭人员站姿端正，不能抓头，挠耳，挖鼻。（1分）</w:t>
            </w:r>
          </w:p>
          <w:p w14:paraId="47580267">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开饭时不准打闹，闲聊，对就餐者提问耐心回答。（1分）</w:t>
            </w:r>
          </w:p>
          <w:p w14:paraId="104887CF">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不准在前台吃东西。（0.5分）</w:t>
            </w:r>
          </w:p>
          <w:p w14:paraId="4C2D7976">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售饭使用专业工具，不得用手翻弄食品。</w:t>
            </w:r>
            <w:r>
              <w:rPr>
                <w:rFonts w:hint="eastAsia" w:ascii="仿宋" w:hAnsi="仿宋" w:eastAsia="仿宋" w:cs="仿宋"/>
                <w:color w:val="auto"/>
                <w:sz w:val="21"/>
                <w:szCs w:val="21"/>
                <w:highlight w:val="none"/>
                <w:lang w:eastAsia="en-US"/>
              </w:rPr>
              <w:t>（1分）</w:t>
            </w:r>
          </w:p>
        </w:tc>
        <w:tc>
          <w:tcPr>
            <w:tcW w:w="1346" w:type="dxa"/>
            <w:noWrap w:val="0"/>
            <w:vAlign w:val="center"/>
          </w:tcPr>
          <w:p w14:paraId="291DE66D">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第1-6条不合格扣0.5分， 直至扣完。</w:t>
            </w:r>
          </w:p>
        </w:tc>
      </w:tr>
      <w:tr w14:paraId="793103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717" w:type="dxa"/>
            <w:noWrap w:val="0"/>
            <w:vAlign w:val="center"/>
          </w:tcPr>
          <w:p w14:paraId="6CA19230">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en-US"/>
              </w:rPr>
              <w:t>通道与宿舍卫生要求</w:t>
            </w:r>
          </w:p>
        </w:tc>
        <w:tc>
          <w:tcPr>
            <w:tcW w:w="539" w:type="dxa"/>
            <w:noWrap w:val="0"/>
            <w:vAlign w:val="center"/>
          </w:tcPr>
          <w:p w14:paraId="0E2C4BCF">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val="en-US" w:eastAsia="en-US"/>
              </w:rPr>
            </w:pP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z w:val="21"/>
                <w:szCs w:val="21"/>
                <w:highlight w:val="none"/>
                <w:lang w:eastAsia="en-US"/>
              </w:rPr>
              <w:t>分</w:t>
            </w:r>
          </w:p>
        </w:tc>
        <w:tc>
          <w:tcPr>
            <w:tcW w:w="5655" w:type="dxa"/>
            <w:noWrap w:val="0"/>
            <w:vAlign w:val="center"/>
          </w:tcPr>
          <w:p w14:paraId="5820F496">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员工通道地面干净、干燥无水渍。（1分）</w:t>
            </w:r>
          </w:p>
          <w:p w14:paraId="17809621">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宿舍地面整洁无纸屑，柜顶上不得放置个人物品。（1分）</w:t>
            </w:r>
          </w:p>
          <w:p w14:paraId="48DEC85A">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zh-CN"/>
              </w:rPr>
              <w:t>厕所整洁无异味，有洗手消毒用品。</w:t>
            </w:r>
            <w:r>
              <w:rPr>
                <w:rFonts w:hint="eastAsia" w:ascii="仿宋" w:hAnsi="仿宋" w:eastAsia="仿宋" w:cs="仿宋"/>
                <w:color w:val="auto"/>
                <w:sz w:val="21"/>
                <w:szCs w:val="21"/>
                <w:highlight w:val="none"/>
                <w:lang w:eastAsia="en-US"/>
              </w:rPr>
              <w:t>（1分）</w:t>
            </w:r>
          </w:p>
        </w:tc>
        <w:tc>
          <w:tcPr>
            <w:tcW w:w="1346" w:type="dxa"/>
            <w:noWrap w:val="0"/>
            <w:vAlign w:val="center"/>
          </w:tcPr>
          <w:p w14:paraId="2E25FCD5">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zh-CN"/>
              </w:rPr>
              <w:t>第1-3条不合格，每项扣0.5 分，直至扣完。</w:t>
            </w:r>
          </w:p>
        </w:tc>
      </w:tr>
      <w:tr w14:paraId="02867F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5" w:hRule="atLeast"/>
        </w:trPr>
        <w:tc>
          <w:tcPr>
            <w:tcW w:w="717" w:type="dxa"/>
            <w:noWrap w:val="0"/>
            <w:vAlign w:val="center"/>
          </w:tcPr>
          <w:p w14:paraId="4BA055EF">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en-US"/>
              </w:rPr>
              <w:t>库房的卫生要求</w:t>
            </w:r>
          </w:p>
        </w:tc>
        <w:tc>
          <w:tcPr>
            <w:tcW w:w="539" w:type="dxa"/>
            <w:noWrap w:val="0"/>
            <w:vAlign w:val="center"/>
          </w:tcPr>
          <w:p w14:paraId="443C640A">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val="en-US" w:eastAsia="en-US"/>
              </w:rPr>
            </w:pPr>
            <w:r>
              <w:rPr>
                <w:rFonts w:hint="eastAsia" w:ascii="仿宋" w:hAnsi="仿宋" w:eastAsia="仿宋" w:cs="仿宋"/>
                <w:color w:val="auto"/>
                <w:sz w:val="21"/>
                <w:szCs w:val="21"/>
                <w:highlight w:val="none"/>
                <w:lang w:val="en-US" w:eastAsia="zh-CN"/>
              </w:rPr>
              <w:t>4</w:t>
            </w:r>
            <w:r>
              <w:rPr>
                <w:rFonts w:hint="eastAsia" w:ascii="仿宋" w:hAnsi="仿宋" w:eastAsia="仿宋" w:cs="仿宋"/>
                <w:color w:val="auto"/>
                <w:sz w:val="21"/>
                <w:szCs w:val="21"/>
                <w:highlight w:val="none"/>
                <w:lang w:eastAsia="en-US"/>
              </w:rPr>
              <w:t>分</w:t>
            </w:r>
          </w:p>
        </w:tc>
        <w:tc>
          <w:tcPr>
            <w:tcW w:w="5655" w:type="dxa"/>
            <w:noWrap w:val="0"/>
            <w:vAlign w:val="center"/>
          </w:tcPr>
          <w:p w14:paraId="46EFCFDE">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库房整洁卫生、有防鼠设施。（1分）</w:t>
            </w:r>
          </w:p>
          <w:p w14:paraId="0F7BD6FC">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米、面放置离墙、离地面。（1分）</w:t>
            </w:r>
          </w:p>
          <w:p w14:paraId="1CFFA1D4">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副食类食品按类分开，上架摆放。（0.5分）</w:t>
            </w:r>
          </w:p>
          <w:p w14:paraId="08B4ADAE">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所有食品须有标签且无过期食品。（1分）</w:t>
            </w:r>
          </w:p>
          <w:p w14:paraId="328FA7DE">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zh-CN"/>
              </w:rPr>
              <w:t>保证账、物卡相符。</w:t>
            </w:r>
            <w:r>
              <w:rPr>
                <w:rFonts w:hint="eastAsia" w:ascii="仿宋" w:hAnsi="仿宋" w:eastAsia="仿宋" w:cs="仿宋"/>
                <w:color w:val="auto"/>
                <w:sz w:val="21"/>
                <w:szCs w:val="21"/>
                <w:highlight w:val="none"/>
                <w:lang w:eastAsia="en-US"/>
              </w:rPr>
              <w:t>（0.5分）</w:t>
            </w:r>
          </w:p>
        </w:tc>
        <w:tc>
          <w:tcPr>
            <w:tcW w:w="1346" w:type="dxa"/>
            <w:noWrap w:val="0"/>
            <w:vAlign w:val="center"/>
          </w:tcPr>
          <w:p w14:paraId="4713D7AB">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zh-CN"/>
              </w:rPr>
              <w:t>第1-5条不合格，每项扣0.5 分，直至扣完。</w:t>
            </w:r>
          </w:p>
        </w:tc>
      </w:tr>
      <w:tr w14:paraId="69CC4D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717" w:type="dxa"/>
            <w:noWrap w:val="0"/>
            <w:vAlign w:val="center"/>
          </w:tcPr>
          <w:p w14:paraId="6692DD56">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en-US"/>
              </w:rPr>
              <w:t>病媒防制</w:t>
            </w:r>
          </w:p>
        </w:tc>
        <w:tc>
          <w:tcPr>
            <w:tcW w:w="539" w:type="dxa"/>
            <w:noWrap w:val="0"/>
            <w:vAlign w:val="center"/>
          </w:tcPr>
          <w:p w14:paraId="22491947">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val="en-US" w:eastAsia="en-US"/>
              </w:rPr>
            </w:pP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en-US"/>
              </w:rPr>
              <w:t>分</w:t>
            </w:r>
          </w:p>
        </w:tc>
        <w:tc>
          <w:tcPr>
            <w:tcW w:w="5655" w:type="dxa"/>
            <w:noWrap w:val="0"/>
            <w:vAlign w:val="center"/>
          </w:tcPr>
          <w:p w14:paraId="081E4BCE">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zh-CN"/>
              </w:rPr>
              <w:t>1.做好病媒防制工作，建立并认真登记消杀台账。</w:t>
            </w:r>
            <w:r>
              <w:rPr>
                <w:rFonts w:hint="eastAsia" w:ascii="仿宋" w:hAnsi="仿宋" w:eastAsia="仿宋" w:cs="仿宋"/>
                <w:color w:val="auto"/>
                <w:sz w:val="21"/>
                <w:szCs w:val="21"/>
                <w:highlight w:val="none"/>
                <w:lang w:eastAsia="en-US"/>
              </w:rPr>
              <w:t>（2分）</w:t>
            </w:r>
          </w:p>
        </w:tc>
        <w:tc>
          <w:tcPr>
            <w:tcW w:w="1346" w:type="dxa"/>
            <w:noWrap w:val="0"/>
            <w:vAlign w:val="center"/>
          </w:tcPr>
          <w:p w14:paraId="0F415FE3">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en-US"/>
              </w:rPr>
              <w:t>不合格真接</w:t>
            </w:r>
            <w:r>
              <w:rPr>
                <w:rFonts w:hint="eastAsia" w:ascii="仿宋" w:hAnsi="仿宋" w:eastAsia="仿宋" w:cs="仿宋"/>
                <w:color w:val="auto"/>
                <w:sz w:val="21"/>
                <w:szCs w:val="21"/>
                <w:highlight w:val="none"/>
                <w:lang w:val="en-US" w:eastAsia="zh-CN"/>
              </w:rPr>
              <w:t>扣</w:t>
            </w:r>
            <w:r>
              <w:rPr>
                <w:rFonts w:hint="eastAsia" w:ascii="仿宋" w:hAnsi="仿宋" w:eastAsia="仿宋" w:cs="仿宋"/>
                <w:color w:val="auto"/>
                <w:sz w:val="21"/>
                <w:szCs w:val="21"/>
                <w:highlight w:val="none"/>
                <w:lang w:eastAsia="en-US"/>
              </w:rPr>
              <w:t>2 分。</w:t>
            </w:r>
          </w:p>
        </w:tc>
      </w:tr>
      <w:tr w14:paraId="1E46C8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8" w:hRule="atLeast"/>
        </w:trPr>
        <w:tc>
          <w:tcPr>
            <w:tcW w:w="717" w:type="dxa"/>
            <w:noWrap w:val="0"/>
            <w:vAlign w:val="center"/>
          </w:tcPr>
          <w:p w14:paraId="2950CD9A">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en-US"/>
              </w:rPr>
              <w:t>劳动纪律与安全</w:t>
            </w:r>
          </w:p>
        </w:tc>
        <w:tc>
          <w:tcPr>
            <w:tcW w:w="539" w:type="dxa"/>
            <w:noWrap w:val="0"/>
            <w:vAlign w:val="center"/>
          </w:tcPr>
          <w:p w14:paraId="5D519239">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val="en-US" w:eastAsia="en-US"/>
              </w:rPr>
            </w:pPr>
            <w:r>
              <w:rPr>
                <w:rFonts w:hint="eastAsia" w:ascii="仿宋" w:hAnsi="仿宋" w:eastAsia="仿宋" w:cs="仿宋"/>
                <w:color w:val="auto"/>
                <w:sz w:val="21"/>
                <w:szCs w:val="21"/>
                <w:highlight w:val="none"/>
                <w:lang w:eastAsia="en-US"/>
              </w:rPr>
              <w:t>12分</w:t>
            </w:r>
          </w:p>
        </w:tc>
        <w:tc>
          <w:tcPr>
            <w:tcW w:w="5655" w:type="dxa"/>
            <w:noWrap w:val="0"/>
            <w:vAlign w:val="center"/>
          </w:tcPr>
          <w:p w14:paraId="69420892">
            <w:pPr>
              <w:keepNext w:val="0"/>
              <w:keepLines/>
              <w:pageBreakBefore w:val="0"/>
              <w:widowControl w:val="0"/>
              <w:kinsoku/>
              <w:wordWrap/>
              <w:overflowPunct/>
              <w:topLinePunct w:val="0"/>
              <w:autoSpaceDE/>
              <w:autoSpaceDN/>
              <w:bidi w:val="0"/>
              <w:adjustRightInd/>
              <w:snapToGrid w:val="0"/>
              <w:spacing w:line="288" w:lineRule="auto"/>
              <w:jc w:val="left"/>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全体员工按时到岗，坚持每日早点名。（3分）</w:t>
            </w:r>
          </w:p>
          <w:p w14:paraId="44CEC074">
            <w:pPr>
              <w:keepNext w:val="0"/>
              <w:keepLines/>
              <w:pageBreakBefore w:val="0"/>
              <w:widowControl w:val="0"/>
              <w:kinsoku/>
              <w:wordWrap/>
              <w:overflowPunct/>
              <w:topLinePunct w:val="0"/>
              <w:autoSpaceDE/>
              <w:autoSpaceDN/>
              <w:bidi w:val="0"/>
              <w:adjustRightInd/>
              <w:snapToGrid w:val="0"/>
              <w:spacing w:line="288" w:lineRule="auto"/>
              <w:jc w:val="left"/>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员工之间应团结友爱，无争吵打架赌博现象；上班期间无事不得相互窜餐厅闲聊，不得酗酒。（3分）</w:t>
            </w:r>
          </w:p>
          <w:p w14:paraId="3D98E46F">
            <w:pPr>
              <w:keepNext w:val="0"/>
              <w:keepLines/>
              <w:pageBreakBefore w:val="0"/>
              <w:widowControl w:val="0"/>
              <w:kinsoku/>
              <w:wordWrap/>
              <w:overflowPunct/>
              <w:topLinePunct w:val="0"/>
              <w:autoSpaceDE/>
              <w:autoSpaceDN/>
              <w:bidi w:val="0"/>
              <w:adjustRightInd/>
              <w:snapToGrid w:val="0"/>
              <w:spacing w:line="288" w:lineRule="auto"/>
              <w:jc w:val="left"/>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餐厅负责人须每天坚持在岗，有事须向主管领导请假（2分）</w:t>
            </w:r>
          </w:p>
          <w:p w14:paraId="42252B57">
            <w:pPr>
              <w:keepNext w:val="0"/>
              <w:keepLines/>
              <w:pageBreakBefore w:val="0"/>
              <w:widowControl w:val="0"/>
              <w:kinsoku/>
              <w:wordWrap/>
              <w:overflowPunct/>
              <w:topLinePunct w:val="0"/>
              <w:autoSpaceDE/>
              <w:autoSpaceDN/>
              <w:bidi w:val="0"/>
              <w:adjustRightInd/>
              <w:snapToGrid w:val="0"/>
              <w:spacing w:line="288" w:lineRule="auto"/>
              <w:jc w:val="left"/>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全日食品卫生安全，无食物中毒现象发生。（2分）</w:t>
            </w:r>
          </w:p>
          <w:p w14:paraId="63913C8D">
            <w:pPr>
              <w:keepNext w:val="0"/>
              <w:keepLines/>
              <w:pageBreakBefore w:val="0"/>
              <w:widowControl w:val="0"/>
              <w:kinsoku/>
              <w:wordWrap/>
              <w:overflowPunct/>
              <w:topLinePunct w:val="0"/>
              <w:autoSpaceDE/>
              <w:autoSpaceDN/>
              <w:bidi w:val="0"/>
              <w:adjustRightInd/>
              <w:snapToGrid w:val="0"/>
              <w:spacing w:line="288" w:lineRule="auto"/>
              <w:jc w:val="left"/>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zh-CN"/>
              </w:rPr>
              <w:t>无事故或事故苗头发生，并经常进行安全教育和检查。</w:t>
            </w:r>
            <w:r>
              <w:rPr>
                <w:rFonts w:hint="eastAsia" w:ascii="仿宋" w:hAnsi="仿宋" w:eastAsia="仿宋" w:cs="仿宋"/>
                <w:color w:val="auto"/>
                <w:sz w:val="21"/>
                <w:szCs w:val="21"/>
                <w:highlight w:val="none"/>
                <w:lang w:eastAsia="en-US"/>
              </w:rPr>
              <w:t>（2分）</w:t>
            </w:r>
          </w:p>
        </w:tc>
        <w:tc>
          <w:tcPr>
            <w:tcW w:w="1346" w:type="dxa"/>
            <w:noWrap w:val="0"/>
            <w:vAlign w:val="center"/>
          </w:tcPr>
          <w:p w14:paraId="3D3ADA53">
            <w:pPr>
              <w:keepNext w:val="0"/>
              <w:keepLines/>
              <w:pageBreakBefore w:val="0"/>
              <w:widowControl w:val="0"/>
              <w:kinsoku/>
              <w:wordWrap/>
              <w:overflowPunct/>
              <w:topLinePunct w:val="0"/>
              <w:autoSpaceDE/>
              <w:autoSpaceDN/>
              <w:bidi w:val="0"/>
              <w:adjustRightInd/>
              <w:snapToGrid w:val="0"/>
              <w:spacing w:line="288" w:lineRule="auto"/>
              <w:jc w:val="left"/>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zh-CN"/>
              </w:rPr>
              <w:t>第1、2条每一项不合格扣 0.5分，直至扣完。第3、4条未请假扣2 分，发生中毒扣2分，第5条扣1分。</w:t>
            </w:r>
          </w:p>
        </w:tc>
      </w:tr>
      <w:tr w14:paraId="431F21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2" w:hRule="atLeast"/>
        </w:trPr>
        <w:tc>
          <w:tcPr>
            <w:tcW w:w="717" w:type="dxa"/>
            <w:noWrap w:val="0"/>
            <w:vAlign w:val="center"/>
          </w:tcPr>
          <w:p w14:paraId="5F2CB7D3">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en-US"/>
              </w:rPr>
              <w:t>服务质量</w:t>
            </w:r>
          </w:p>
        </w:tc>
        <w:tc>
          <w:tcPr>
            <w:tcW w:w="539" w:type="dxa"/>
            <w:noWrap w:val="0"/>
            <w:vAlign w:val="center"/>
          </w:tcPr>
          <w:p w14:paraId="33AB6BCC">
            <w:pPr>
              <w:keepNext w:val="0"/>
              <w:keepLines/>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val="en-US" w:eastAsia="en-US"/>
              </w:rPr>
            </w:pPr>
            <w:r>
              <w:rPr>
                <w:rFonts w:hint="eastAsia" w:ascii="仿宋" w:hAnsi="仿宋" w:eastAsia="仿宋" w:cs="仿宋"/>
                <w:color w:val="auto"/>
                <w:sz w:val="21"/>
                <w:szCs w:val="21"/>
                <w:highlight w:val="none"/>
                <w:lang w:val="en-US" w:eastAsia="zh-CN"/>
              </w:rPr>
              <w:t>10</w:t>
            </w:r>
            <w:r>
              <w:rPr>
                <w:rFonts w:hint="eastAsia" w:ascii="仿宋" w:hAnsi="仿宋" w:eastAsia="仿宋" w:cs="仿宋"/>
                <w:color w:val="auto"/>
                <w:sz w:val="21"/>
                <w:szCs w:val="21"/>
                <w:highlight w:val="none"/>
                <w:lang w:eastAsia="en-US"/>
              </w:rPr>
              <w:t>分</w:t>
            </w:r>
          </w:p>
        </w:tc>
        <w:tc>
          <w:tcPr>
            <w:tcW w:w="5655" w:type="dxa"/>
            <w:noWrap w:val="0"/>
            <w:vAlign w:val="center"/>
          </w:tcPr>
          <w:p w14:paraId="525BB2C9">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顾客满意率高、无影响面大的意见；餐厅内要配有意见本。（3 分）</w:t>
            </w:r>
          </w:p>
          <w:p w14:paraId="301820C9">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炊管人员语言文明，讲话和气，态度和蔼与用餐者无争吵。（3 分）</w:t>
            </w:r>
          </w:p>
          <w:p w14:paraId="1708220B">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zh-CN"/>
              </w:rPr>
              <w:t>严格做好垃圾分类工作。</w:t>
            </w:r>
            <w:r>
              <w:rPr>
                <w:rFonts w:hint="eastAsia" w:ascii="仿宋" w:hAnsi="仿宋" w:eastAsia="仿宋" w:cs="仿宋"/>
                <w:color w:val="auto"/>
                <w:sz w:val="21"/>
                <w:szCs w:val="21"/>
                <w:highlight w:val="none"/>
                <w:lang w:eastAsia="en-US"/>
              </w:rPr>
              <w:t>（4分）</w:t>
            </w:r>
          </w:p>
        </w:tc>
        <w:tc>
          <w:tcPr>
            <w:tcW w:w="1346" w:type="dxa"/>
            <w:noWrap w:val="0"/>
            <w:vAlign w:val="center"/>
          </w:tcPr>
          <w:p w14:paraId="2739212A">
            <w:pPr>
              <w:keepNext w:val="0"/>
              <w:keepLines/>
              <w:pageBreakBefore w:val="0"/>
              <w:widowControl w:val="0"/>
              <w:kinsoku/>
              <w:wordWrap/>
              <w:overflowPunct/>
              <w:topLinePunct w:val="0"/>
              <w:autoSpaceDE/>
              <w:autoSpaceDN/>
              <w:bidi w:val="0"/>
              <w:adjustRightInd/>
              <w:snapToGrid w:val="0"/>
              <w:spacing w:line="288" w:lineRule="auto"/>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zh-CN"/>
              </w:rPr>
              <w:t>第1、2条不合格每条扣2分，第3条不合格扣4分。</w:t>
            </w:r>
          </w:p>
        </w:tc>
      </w:tr>
    </w:tbl>
    <w:p w14:paraId="03E5CE93">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表 1：重金属及有害物质限量</w:t>
      </w:r>
    </w:p>
    <w:tbl>
      <w:tblPr>
        <w:tblStyle w:val="18"/>
        <w:tblpPr w:leftFromText="180" w:rightFromText="180" w:vertAnchor="text" w:horzAnchor="page" w:tblpX="1700" w:tblpY="244"/>
        <w:tblOverlap w:val="never"/>
        <w:tblW w:w="84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58"/>
        <w:gridCol w:w="6081"/>
      </w:tblGrid>
      <w:tr w14:paraId="487277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2358" w:type="dxa"/>
            <w:noWrap w:val="0"/>
            <w:vAlign w:val="top"/>
          </w:tcPr>
          <w:p w14:paraId="30A8CF0D">
            <w:pPr>
              <w:pStyle w:val="19"/>
              <w:keepNext w:val="0"/>
              <w:keepLines w:val="0"/>
              <w:pageBreakBefore w:val="0"/>
              <w:widowControl w:val="0"/>
              <w:kinsoku/>
              <w:wordWrap/>
              <w:overflowPunct/>
              <w:topLinePunct w:val="0"/>
              <w:autoSpaceDE w:val="0"/>
              <w:autoSpaceDN w:val="0"/>
              <w:bidi w:val="0"/>
              <w:adjustRightInd/>
              <w:snapToGrid w:val="0"/>
              <w:spacing w:before="136" w:line="288" w:lineRule="auto"/>
              <w:ind w:left="1190" w:firstLine="0" w:firstLineChars="0"/>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项目</w:t>
            </w:r>
          </w:p>
        </w:tc>
        <w:tc>
          <w:tcPr>
            <w:tcW w:w="6081" w:type="dxa"/>
            <w:noWrap w:val="0"/>
            <w:vAlign w:val="top"/>
          </w:tcPr>
          <w:p w14:paraId="42F2D7F0">
            <w:pPr>
              <w:pStyle w:val="19"/>
              <w:keepNext w:val="0"/>
              <w:keepLines w:val="0"/>
              <w:pageBreakBefore w:val="0"/>
              <w:widowControl w:val="0"/>
              <w:kinsoku/>
              <w:wordWrap/>
              <w:overflowPunct/>
              <w:topLinePunct w:val="0"/>
              <w:autoSpaceDE w:val="0"/>
              <w:autoSpaceDN w:val="0"/>
              <w:bidi w:val="0"/>
              <w:adjustRightInd/>
              <w:snapToGrid w:val="0"/>
              <w:spacing w:before="136" w:line="288" w:lineRule="auto"/>
              <w:ind w:left="2438" w:firstLine="0" w:firstLineChars="0"/>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指标（mg/Kg）</w:t>
            </w:r>
          </w:p>
        </w:tc>
      </w:tr>
      <w:tr w14:paraId="5D1775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2358" w:type="dxa"/>
            <w:noWrap w:val="0"/>
            <w:vAlign w:val="top"/>
          </w:tcPr>
          <w:p w14:paraId="34521757">
            <w:pPr>
              <w:pStyle w:val="19"/>
              <w:keepNext w:val="0"/>
              <w:keepLines w:val="0"/>
              <w:pageBreakBefore w:val="0"/>
              <w:widowControl w:val="0"/>
              <w:kinsoku/>
              <w:wordWrap/>
              <w:overflowPunct/>
              <w:topLinePunct w:val="0"/>
              <w:autoSpaceDE w:val="0"/>
              <w:autoSpaceDN w:val="0"/>
              <w:bidi w:val="0"/>
              <w:adjustRightInd/>
              <w:snapToGrid w:val="0"/>
              <w:spacing w:before="137" w:line="288" w:lineRule="auto"/>
              <w:ind w:left="666" w:firstLine="0" w:firstLineChars="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pacing w:val="-73"/>
                <w:sz w:val="21"/>
                <w:szCs w:val="21"/>
                <w:highlight w:val="none"/>
                <w:lang w:eastAsia="en-US"/>
              </w:rPr>
              <w:t>汞</w:t>
            </w:r>
            <w:r>
              <w:rPr>
                <w:rFonts w:hint="eastAsia" w:ascii="仿宋" w:hAnsi="仿宋" w:eastAsia="仿宋" w:cs="仿宋"/>
                <w:color w:val="auto"/>
                <w:spacing w:val="-3"/>
                <w:sz w:val="21"/>
                <w:szCs w:val="21"/>
                <w:highlight w:val="none"/>
                <w:lang w:eastAsia="en-US"/>
              </w:rPr>
              <w:t>（</w:t>
            </w:r>
            <w:r>
              <w:rPr>
                <w:rFonts w:hint="eastAsia" w:ascii="仿宋" w:hAnsi="仿宋" w:eastAsia="仿宋" w:cs="仿宋"/>
                <w:color w:val="auto"/>
                <w:spacing w:val="-3"/>
                <w:sz w:val="21"/>
                <w:szCs w:val="21"/>
                <w:highlight w:val="none"/>
                <w:lang w:val="en-US" w:eastAsia="zh-CN"/>
              </w:rPr>
              <w:t>以Hg</w:t>
            </w:r>
            <w:r>
              <w:rPr>
                <w:rFonts w:hint="eastAsia" w:ascii="仿宋" w:hAnsi="仿宋" w:eastAsia="仿宋" w:cs="仿宋"/>
                <w:color w:val="auto"/>
                <w:spacing w:val="-34"/>
                <w:sz w:val="21"/>
                <w:szCs w:val="21"/>
                <w:highlight w:val="none"/>
                <w:lang w:eastAsia="en-US"/>
              </w:rPr>
              <w:t>计</w:t>
            </w:r>
            <w:r>
              <w:rPr>
                <w:rFonts w:hint="eastAsia" w:ascii="仿宋" w:hAnsi="仿宋" w:eastAsia="仿宋" w:cs="仿宋"/>
                <w:color w:val="auto"/>
                <w:sz w:val="21"/>
                <w:szCs w:val="21"/>
                <w:highlight w:val="none"/>
                <w:lang w:eastAsia="en-US"/>
              </w:rPr>
              <w:t>）</w:t>
            </w:r>
          </w:p>
        </w:tc>
        <w:tc>
          <w:tcPr>
            <w:tcW w:w="6081" w:type="dxa"/>
            <w:noWrap w:val="0"/>
            <w:vAlign w:val="top"/>
          </w:tcPr>
          <w:p w14:paraId="75DF80C1">
            <w:pPr>
              <w:pStyle w:val="19"/>
              <w:keepNext w:val="0"/>
              <w:keepLines w:val="0"/>
              <w:pageBreakBefore w:val="0"/>
              <w:widowControl w:val="0"/>
              <w:tabs>
                <w:tab w:val="left" w:pos="2927"/>
              </w:tabs>
              <w:kinsoku/>
              <w:wordWrap/>
              <w:overflowPunct/>
              <w:topLinePunct w:val="0"/>
              <w:autoSpaceDE w:val="0"/>
              <w:autoSpaceDN w:val="0"/>
              <w:bidi w:val="0"/>
              <w:adjustRightInd/>
              <w:snapToGrid w:val="0"/>
              <w:spacing w:before="137" w:line="288" w:lineRule="auto"/>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ab/>
            </w:r>
            <w:r>
              <w:rPr>
                <w:rFonts w:hint="eastAsia" w:ascii="仿宋" w:hAnsi="仿宋" w:eastAsia="仿宋" w:cs="仿宋"/>
                <w:color w:val="auto"/>
                <w:sz w:val="21"/>
                <w:szCs w:val="21"/>
                <w:highlight w:val="none"/>
                <w:lang w:eastAsia="en-US"/>
              </w:rPr>
              <w:t>≤0.01</w:t>
            </w:r>
          </w:p>
        </w:tc>
      </w:tr>
      <w:tr w14:paraId="20750E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2358" w:type="dxa"/>
            <w:noWrap w:val="0"/>
            <w:vAlign w:val="top"/>
          </w:tcPr>
          <w:p w14:paraId="4B755BA3">
            <w:pPr>
              <w:pStyle w:val="19"/>
              <w:keepNext w:val="0"/>
              <w:keepLines w:val="0"/>
              <w:pageBreakBefore w:val="0"/>
              <w:widowControl w:val="0"/>
              <w:kinsoku/>
              <w:wordWrap/>
              <w:overflowPunct/>
              <w:topLinePunct w:val="0"/>
              <w:autoSpaceDE w:val="0"/>
              <w:autoSpaceDN w:val="0"/>
              <w:bidi w:val="0"/>
              <w:adjustRightInd/>
              <w:snapToGrid w:val="0"/>
              <w:spacing w:before="137" w:line="288" w:lineRule="auto"/>
              <w:ind w:left="666" w:firstLine="0" w:firstLineChars="0"/>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pacing w:val="-73"/>
                <w:sz w:val="21"/>
                <w:szCs w:val="21"/>
                <w:highlight w:val="none"/>
                <w:lang w:eastAsia="en-US"/>
              </w:rPr>
              <w:t>砷</w:t>
            </w:r>
            <w:r>
              <w:rPr>
                <w:rFonts w:hint="eastAsia" w:ascii="仿宋" w:hAnsi="仿宋" w:eastAsia="仿宋" w:cs="仿宋"/>
                <w:color w:val="auto"/>
                <w:spacing w:val="-3"/>
                <w:sz w:val="21"/>
                <w:szCs w:val="21"/>
                <w:highlight w:val="none"/>
                <w:lang w:eastAsia="en-US"/>
              </w:rPr>
              <w:t>（</w:t>
            </w:r>
            <w:r>
              <w:rPr>
                <w:rFonts w:hint="eastAsia" w:ascii="仿宋" w:hAnsi="仿宋" w:eastAsia="仿宋" w:cs="仿宋"/>
                <w:color w:val="auto"/>
                <w:spacing w:val="-35"/>
                <w:sz w:val="21"/>
                <w:szCs w:val="21"/>
                <w:highlight w:val="none"/>
                <w:lang w:eastAsia="en-US"/>
              </w:rPr>
              <w:t xml:space="preserve">以 </w:t>
            </w:r>
            <w:r>
              <w:rPr>
                <w:rFonts w:hint="eastAsia" w:ascii="仿宋" w:hAnsi="仿宋" w:eastAsia="仿宋" w:cs="仿宋"/>
                <w:color w:val="auto"/>
                <w:sz w:val="21"/>
                <w:szCs w:val="21"/>
                <w:highlight w:val="none"/>
                <w:lang w:eastAsia="en-US"/>
              </w:rPr>
              <w:t>As</w:t>
            </w:r>
            <w:r>
              <w:rPr>
                <w:rFonts w:hint="eastAsia" w:ascii="仿宋" w:hAnsi="仿宋" w:eastAsia="仿宋" w:cs="仿宋"/>
                <w:color w:val="auto"/>
                <w:spacing w:val="-34"/>
                <w:sz w:val="21"/>
                <w:szCs w:val="21"/>
                <w:highlight w:val="none"/>
                <w:lang w:eastAsia="en-US"/>
              </w:rPr>
              <w:t>计</w:t>
            </w:r>
            <w:r>
              <w:rPr>
                <w:rFonts w:hint="eastAsia" w:ascii="仿宋" w:hAnsi="仿宋" w:eastAsia="仿宋" w:cs="仿宋"/>
                <w:color w:val="auto"/>
                <w:sz w:val="21"/>
                <w:szCs w:val="21"/>
                <w:highlight w:val="none"/>
                <w:lang w:eastAsia="en-US"/>
              </w:rPr>
              <w:t>）</w:t>
            </w:r>
          </w:p>
        </w:tc>
        <w:tc>
          <w:tcPr>
            <w:tcW w:w="6081" w:type="dxa"/>
            <w:noWrap w:val="0"/>
            <w:vAlign w:val="top"/>
          </w:tcPr>
          <w:p w14:paraId="273B16B7">
            <w:pPr>
              <w:pStyle w:val="19"/>
              <w:keepNext w:val="0"/>
              <w:keepLines w:val="0"/>
              <w:pageBreakBefore w:val="0"/>
              <w:widowControl w:val="0"/>
              <w:tabs>
                <w:tab w:val="left" w:pos="2997"/>
              </w:tabs>
              <w:kinsoku/>
              <w:wordWrap/>
              <w:overflowPunct/>
              <w:topLinePunct w:val="0"/>
              <w:autoSpaceDE w:val="0"/>
              <w:autoSpaceDN w:val="0"/>
              <w:bidi w:val="0"/>
              <w:adjustRightInd/>
              <w:snapToGrid w:val="0"/>
              <w:spacing w:before="137" w:line="288" w:lineRule="auto"/>
              <w:ind w:left="-248" w:firstLine="0" w:firstLineChars="0"/>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w:t>
            </w:r>
            <w:r>
              <w:rPr>
                <w:rFonts w:hint="eastAsia" w:ascii="仿宋" w:hAnsi="仿宋" w:eastAsia="仿宋" w:cs="仿宋"/>
                <w:color w:val="auto"/>
                <w:sz w:val="21"/>
                <w:szCs w:val="21"/>
                <w:highlight w:val="none"/>
                <w:lang w:eastAsia="en-US"/>
              </w:rPr>
              <w:tab/>
            </w:r>
            <w:r>
              <w:rPr>
                <w:rFonts w:hint="eastAsia" w:ascii="仿宋" w:hAnsi="仿宋" w:eastAsia="仿宋" w:cs="仿宋"/>
                <w:color w:val="auto"/>
                <w:sz w:val="21"/>
                <w:szCs w:val="21"/>
                <w:highlight w:val="none"/>
                <w:lang w:eastAsia="en-US"/>
              </w:rPr>
              <w:t>≤0.5</w:t>
            </w:r>
          </w:p>
        </w:tc>
      </w:tr>
      <w:tr w14:paraId="433720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 w:hRule="atLeast"/>
        </w:trPr>
        <w:tc>
          <w:tcPr>
            <w:tcW w:w="2358" w:type="dxa"/>
            <w:noWrap w:val="0"/>
            <w:vAlign w:val="top"/>
          </w:tcPr>
          <w:p w14:paraId="375D4FE6">
            <w:pPr>
              <w:pStyle w:val="19"/>
              <w:keepNext w:val="0"/>
              <w:keepLines w:val="0"/>
              <w:pageBreakBefore w:val="0"/>
              <w:widowControl w:val="0"/>
              <w:kinsoku/>
              <w:wordWrap/>
              <w:overflowPunct/>
              <w:topLinePunct w:val="0"/>
              <w:autoSpaceDE w:val="0"/>
              <w:autoSpaceDN w:val="0"/>
              <w:bidi w:val="0"/>
              <w:adjustRightInd/>
              <w:snapToGrid w:val="0"/>
              <w:spacing w:before="135"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pacing w:val="-3"/>
                <w:sz w:val="21"/>
                <w:szCs w:val="21"/>
                <w:highlight w:val="none"/>
                <w:lang w:val="en-US" w:eastAsia="zh-CN"/>
              </w:rPr>
              <w:t>铅</w:t>
            </w:r>
            <w:r>
              <w:rPr>
                <w:rFonts w:hint="eastAsia" w:ascii="仿宋" w:hAnsi="仿宋" w:eastAsia="仿宋" w:cs="仿宋"/>
                <w:color w:val="auto"/>
                <w:spacing w:val="-3"/>
                <w:sz w:val="21"/>
                <w:szCs w:val="21"/>
                <w:highlight w:val="none"/>
                <w:lang w:eastAsia="en-US"/>
              </w:rPr>
              <w:t>（</w:t>
            </w:r>
            <w:r>
              <w:rPr>
                <w:rFonts w:hint="eastAsia" w:ascii="仿宋" w:hAnsi="仿宋" w:eastAsia="仿宋" w:cs="仿宋"/>
                <w:color w:val="auto"/>
                <w:spacing w:val="69"/>
                <w:sz w:val="21"/>
                <w:szCs w:val="21"/>
                <w:highlight w:val="none"/>
                <w:lang w:eastAsia="en-US"/>
              </w:rPr>
              <w:t>以</w:t>
            </w:r>
            <w:r>
              <w:rPr>
                <w:rFonts w:hint="eastAsia" w:ascii="仿宋" w:hAnsi="仿宋" w:eastAsia="仿宋" w:cs="仿宋"/>
                <w:color w:val="auto"/>
                <w:sz w:val="21"/>
                <w:szCs w:val="21"/>
                <w:highlight w:val="none"/>
                <w:lang w:eastAsia="en-US"/>
              </w:rPr>
              <w:t>P</w:t>
            </w:r>
            <w:r>
              <w:rPr>
                <w:rFonts w:hint="eastAsia" w:ascii="仿宋" w:hAnsi="仿宋" w:eastAsia="仿宋" w:cs="仿宋"/>
                <w:color w:val="auto"/>
                <w:spacing w:val="-34"/>
                <w:sz w:val="21"/>
                <w:szCs w:val="21"/>
                <w:highlight w:val="none"/>
                <w:lang w:eastAsia="en-US"/>
              </w:rPr>
              <w:t xml:space="preserve"> 计</w:t>
            </w:r>
            <w:r>
              <w:rPr>
                <w:rFonts w:hint="eastAsia" w:ascii="仿宋" w:hAnsi="仿宋" w:eastAsia="仿宋" w:cs="仿宋"/>
                <w:color w:val="auto"/>
                <w:sz w:val="21"/>
                <w:szCs w:val="21"/>
                <w:highlight w:val="none"/>
                <w:lang w:eastAsia="en-US"/>
              </w:rPr>
              <w:t>）</w:t>
            </w:r>
          </w:p>
        </w:tc>
        <w:tc>
          <w:tcPr>
            <w:tcW w:w="6081" w:type="dxa"/>
            <w:noWrap w:val="0"/>
            <w:vAlign w:val="top"/>
          </w:tcPr>
          <w:p w14:paraId="16011996">
            <w:pPr>
              <w:pStyle w:val="19"/>
              <w:keepNext w:val="0"/>
              <w:keepLines w:val="0"/>
              <w:pageBreakBefore w:val="0"/>
              <w:widowControl w:val="0"/>
              <w:kinsoku/>
              <w:wordWrap/>
              <w:overflowPunct/>
              <w:topLinePunct w:val="0"/>
              <w:autoSpaceDE w:val="0"/>
              <w:autoSpaceDN w:val="0"/>
              <w:bidi w:val="0"/>
              <w:adjustRightInd/>
              <w:snapToGrid w:val="0"/>
              <w:spacing w:before="135" w:line="288" w:lineRule="auto"/>
              <w:ind w:left="2978" w:right="2410" w:firstLine="0" w:firstLineChars="0"/>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≤0.2</w:t>
            </w:r>
          </w:p>
        </w:tc>
      </w:tr>
      <w:tr w14:paraId="042BE5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2358" w:type="dxa"/>
            <w:noWrap w:val="0"/>
            <w:vAlign w:val="top"/>
          </w:tcPr>
          <w:p w14:paraId="38AE258E">
            <w:pPr>
              <w:pStyle w:val="19"/>
              <w:keepNext w:val="0"/>
              <w:keepLines w:val="0"/>
              <w:pageBreakBefore w:val="0"/>
              <w:widowControl w:val="0"/>
              <w:kinsoku/>
              <w:wordWrap/>
              <w:overflowPunct/>
              <w:topLinePunct w:val="0"/>
              <w:autoSpaceDE w:val="0"/>
              <w:autoSpaceDN w:val="0"/>
              <w:bidi w:val="0"/>
              <w:adjustRightInd/>
              <w:snapToGrid w:val="0"/>
              <w:spacing w:before="136" w:line="288" w:lineRule="auto"/>
              <w:ind w:left="666" w:firstLine="0" w:firstLineChars="0"/>
              <w:jc w:val="both"/>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亚硝酸盐</w:t>
            </w:r>
          </w:p>
        </w:tc>
        <w:tc>
          <w:tcPr>
            <w:tcW w:w="6081" w:type="dxa"/>
            <w:noWrap w:val="0"/>
            <w:vAlign w:val="top"/>
          </w:tcPr>
          <w:p w14:paraId="76F9DC70">
            <w:pPr>
              <w:pStyle w:val="19"/>
              <w:keepNext w:val="0"/>
              <w:keepLines w:val="0"/>
              <w:pageBreakBefore w:val="0"/>
              <w:widowControl w:val="0"/>
              <w:kinsoku/>
              <w:wordWrap/>
              <w:overflowPunct/>
              <w:topLinePunct w:val="0"/>
              <w:autoSpaceDE w:val="0"/>
              <w:autoSpaceDN w:val="0"/>
              <w:bidi w:val="0"/>
              <w:adjustRightInd/>
              <w:snapToGrid w:val="0"/>
              <w:spacing w:before="136" w:line="288" w:lineRule="auto"/>
              <w:ind w:left="2978" w:right="2410" w:firstLine="0" w:firstLineChars="0"/>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≤4.0</w:t>
            </w:r>
          </w:p>
        </w:tc>
      </w:tr>
      <w:tr w14:paraId="1B9BC0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358" w:type="dxa"/>
            <w:noWrap w:val="0"/>
            <w:vAlign w:val="top"/>
          </w:tcPr>
          <w:p w14:paraId="49C07717">
            <w:pPr>
              <w:pStyle w:val="19"/>
              <w:keepNext w:val="0"/>
              <w:keepLines w:val="0"/>
              <w:pageBreakBefore w:val="0"/>
              <w:widowControl w:val="0"/>
              <w:kinsoku/>
              <w:wordWrap/>
              <w:overflowPunct/>
              <w:topLinePunct w:val="0"/>
              <w:autoSpaceDE w:val="0"/>
              <w:autoSpaceDN w:val="0"/>
              <w:bidi w:val="0"/>
              <w:adjustRightInd/>
              <w:snapToGrid w:val="0"/>
              <w:spacing w:before="136"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硝酸盐</w:t>
            </w:r>
          </w:p>
        </w:tc>
        <w:tc>
          <w:tcPr>
            <w:tcW w:w="6081" w:type="dxa"/>
            <w:noWrap w:val="0"/>
            <w:vAlign w:val="top"/>
          </w:tcPr>
          <w:p w14:paraId="20532CF3">
            <w:pPr>
              <w:pStyle w:val="19"/>
              <w:keepNext w:val="0"/>
              <w:keepLines w:val="0"/>
              <w:pageBreakBefore w:val="0"/>
              <w:widowControl w:val="0"/>
              <w:kinsoku/>
              <w:wordWrap/>
              <w:overflowPunct/>
              <w:topLinePunct w:val="0"/>
              <w:autoSpaceDE w:val="0"/>
              <w:autoSpaceDN w:val="0"/>
              <w:bidi w:val="0"/>
              <w:adjustRightInd/>
              <w:snapToGrid w:val="0"/>
              <w:spacing w:before="136" w:line="288" w:lineRule="auto"/>
              <w:jc w:val="center"/>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≤600（瓜果类）≤1200（根茎类）≤3000</w:t>
            </w:r>
          </w:p>
        </w:tc>
      </w:tr>
    </w:tbl>
    <w:p w14:paraId="35FE852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表 2：农药最大残留限量</w:t>
      </w:r>
    </w:p>
    <w:tbl>
      <w:tblPr>
        <w:tblStyle w:val="18"/>
        <w:tblpPr w:leftFromText="180" w:rightFromText="180" w:vertAnchor="text" w:horzAnchor="page" w:tblpX="1705" w:tblpY="144"/>
        <w:tblOverlap w:val="never"/>
        <w:tblW w:w="83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22"/>
        <w:gridCol w:w="1876"/>
        <w:gridCol w:w="1448"/>
        <w:gridCol w:w="982"/>
        <w:gridCol w:w="1030"/>
        <w:gridCol w:w="1739"/>
      </w:tblGrid>
      <w:tr w14:paraId="79D2AE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6" w:hRule="atLeast"/>
        </w:trPr>
        <w:tc>
          <w:tcPr>
            <w:tcW w:w="1322" w:type="dxa"/>
            <w:noWrap w:val="0"/>
            <w:vAlign w:val="center"/>
          </w:tcPr>
          <w:p w14:paraId="7AF837A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通用名称</w:t>
            </w:r>
          </w:p>
        </w:tc>
        <w:tc>
          <w:tcPr>
            <w:tcW w:w="1876" w:type="dxa"/>
            <w:noWrap w:val="0"/>
            <w:vAlign w:val="center"/>
          </w:tcPr>
          <w:p w14:paraId="1B677E1F">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英文名称</w:t>
            </w:r>
          </w:p>
        </w:tc>
        <w:tc>
          <w:tcPr>
            <w:tcW w:w="1448" w:type="dxa"/>
            <w:noWrap w:val="0"/>
            <w:vAlign w:val="center"/>
          </w:tcPr>
          <w:p w14:paraId="70CACF4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商品名称</w:t>
            </w:r>
          </w:p>
        </w:tc>
        <w:tc>
          <w:tcPr>
            <w:tcW w:w="982" w:type="dxa"/>
            <w:noWrap w:val="0"/>
            <w:vAlign w:val="center"/>
          </w:tcPr>
          <w:p w14:paraId="05DB4C6E">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毒性</w:t>
            </w:r>
          </w:p>
        </w:tc>
        <w:tc>
          <w:tcPr>
            <w:tcW w:w="1030" w:type="dxa"/>
            <w:noWrap w:val="0"/>
            <w:vAlign w:val="center"/>
          </w:tcPr>
          <w:p w14:paraId="4319CB57">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作物</w:t>
            </w:r>
          </w:p>
        </w:tc>
        <w:tc>
          <w:tcPr>
            <w:tcW w:w="1739" w:type="dxa"/>
            <w:noWrap w:val="0"/>
            <w:vAlign w:val="center"/>
          </w:tcPr>
          <w:p w14:paraId="6F05557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最高残留限量</w:t>
            </w:r>
          </w:p>
          <w:p w14:paraId="4F3E7ECB">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（mk/kg）</w:t>
            </w:r>
          </w:p>
        </w:tc>
      </w:tr>
      <w:tr w14:paraId="7C9575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6" w:hRule="atLeast"/>
        </w:trPr>
        <w:tc>
          <w:tcPr>
            <w:tcW w:w="1322" w:type="dxa"/>
            <w:noWrap w:val="0"/>
            <w:vAlign w:val="center"/>
          </w:tcPr>
          <w:p w14:paraId="7FDEB2D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马拉硫磷</w:t>
            </w:r>
          </w:p>
        </w:tc>
        <w:tc>
          <w:tcPr>
            <w:tcW w:w="1876" w:type="dxa"/>
            <w:noWrap w:val="0"/>
            <w:vAlign w:val="center"/>
          </w:tcPr>
          <w:p w14:paraId="625ECB3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malathion</w:t>
            </w:r>
          </w:p>
        </w:tc>
        <w:tc>
          <w:tcPr>
            <w:tcW w:w="1448" w:type="dxa"/>
            <w:noWrap w:val="0"/>
            <w:vAlign w:val="center"/>
          </w:tcPr>
          <w:p w14:paraId="2CFB188B">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马拉松</w:t>
            </w:r>
          </w:p>
        </w:tc>
        <w:tc>
          <w:tcPr>
            <w:tcW w:w="982" w:type="dxa"/>
            <w:noWrap w:val="0"/>
            <w:vAlign w:val="center"/>
          </w:tcPr>
          <w:p w14:paraId="4109DD27">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低</w:t>
            </w:r>
          </w:p>
        </w:tc>
        <w:tc>
          <w:tcPr>
            <w:tcW w:w="1030" w:type="dxa"/>
            <w:noWrap w:val="0"/>
            <w:vAlign w:val="center"/>
          </w:tcPr>
          <w:p w14:paraId="47D7C9A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蔬菜</w:t>
            </w:r>
          </w:p>
        </w:tc>
        <w:tc>
          <w:tcPr>
            <w:tcW w:w="1739" w:type="dxa"/>
            <w:noWrap w:val="0"/>
            <w:vAlign w:val="center"/>
          </w:tcPr>
          <w:p w14:paraId="0F7E10C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不得检出</w:t>
            </w:r>
          </w:p>
        </w:tc>
      </w:tr>
      <w:tr w14:paraId="72433E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 w:hRule="atLeast"/>
        </w:trPr>
        <w:tc>
          <w:tcPr>
            <w:tcW w:w="1322" w:type="dxa"/>
            <w:noWrap w:val="0"/>
            <w:vAlign w:val="center"/>
          </w:tcPr>
          <w:p w14:paraId="6EDA33E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对硫磷</w:t>
            </w:r>
          </w:p>
        </w:tc>
        <w:tc>
          <w:tcPr>
            <w:tcW w:w="1876" w:type="dxa"/>
            <w:noWrap w:val="0"/>
            <w:vAlign w:val="center"/>
          </w:tcPr>
          <w:p w14:paraId="1098F3DE">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parathion</w:t>
            </w:r>
          </w:p>
        </w:tc>
        <w:tc>
          <w:tcPr>
            <w:tcW w:w="1448" w:type="dxa"/>
            <w:noWrap w:val="0"/>
            <w:vAlign w:val="center"/>
          </w:tcPr>
          <w:p w14:paraId="6BE37042">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一六零五</w:t>
            </w:r>
          </w:p>
        </w:tc>
        <w:tc>
          <w:tcPr>
            <w:tcW w:w="982" w:type="dxa"/>
            <w:noWrap w:val="0"/>
            <w:vAlign w:val="center"/>
          </w:tcPr>
          <w:p w14:paraId="45D4058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高</w:t>
            </w:r>
          </w:p>
        </w:tc>
        <w:tc>
          <w:tcPr>
            <w:tcW w:w="1030" w:type="dxa"/>
            <w:noWrap w:val="0"/>
            <w:vAlign w:val="center"/>
          </w:tcPr>
          <w:p w14:paraId="5BF8BAA8">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蔬菜</w:t>
            </w:r>
          </w:p>
        </w:tc>
        <w:tc>
          <w:tcPr>
            <w:tcW w:w="1739" w:type="dxa"/>
            <w:noWrap w:val="0"/>
            <w:vAlign w:val="center"/>
          </w:tcPr>
          <w:p w14:paraId="635DFF0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不得检出</w:t>
            </w:r>
          </w:p>
        </w:tc>
      </w:tr>
      <w:tr w14:paraId="342F2A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 w:hRule="atLeast"/>
        </w:trPr>
        <w:tc>
          <w:tcPr>
            <w:tcW w:w="1322" w:type="dxa"/>
            <w:noWrap w:val="0"/>
            <w:vAlign w:val="center"/>
          </w:tcPr>
          <w:p w14:paraId="0912763F">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甲拌磷</w:t>
            </w:r>
          </w:p>
        </w:tc>
        <w:tc>
          <w:tcPr>
            <w:tcW w:w="1876" w:type="dxa"/>
            <w:noWrap w:val="0"/>
            <w:vAlign w:val="center"/>
          </w:tcPr>
          <w:p w14:paraId="714415F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phorate</w:t>
            </w:r>
          </w:p>
        </w:tc>
        <w:tc>
          <w:tcPr>
            <w:tcW w:w="1448" w:type="dxa"/>
            <w:noWrap w:val="0"/>
            <w:vAlign w:val="center"/>
          </w:tcPr>
          <w:p w14:paraId="6030303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三九一一</w:t>
            </w:r>
          </w:p>
        </w:tc>
        <w:tc>
          <w:tcPr>
            <w:tcW w:w="982" w:type="dxa"/>
            <w:noWrap w:val="0"/>
            <w:vAlign w:val="center"/>
          </w:tcPr>
          <w:p w14:paraId="6553C7DF">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高</w:t>
            </w:r>
          </w:p>
        </w:tc>
        <w:tc>
          <w:tcPr>
            <w:tcW w:w="1030" w:type="dxa"/>
            <w:noWrap w:val="0"/>
            <w:vAlign w:val="center"/>
          </w:tcPr>
          <w:p w14:paraId="09C9539F">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蔬菜</w:t>
            </w:r>
          </w:p>
        </w:tc>
        <w:tc>
          <w:tcPr>
            <w:tcW w:w="1739" w:type="dxa"/>
            <w:noWrap w:val="0"/>
            <w:vAlign w:val="center"/>
          </w:tcPr>
          <w:p w14:paraId="32D52A12">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不得检出</w:t>
            </w:r>
          </w:p>
        </w:tc>
      </w:tr>
      <w:tr w14:paraId="61D852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8" w:hRule="atLeast"/>
        </w:trPr>
        <w:tc>
          <w:tcPr>
            <w:tcW w:w="1322" w:type="dxa"/>
            <w:noWrap w:val="0"/>
            <w:vAlign w:val="center"/>
          </w:tcPr>
          <w:p w14:paraId="6E91383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甲胺磷</w:t>
            </w:r>
          </w:p>
        </w:tc>
        <w:tc>
          <w:tcPr>
            <w:tcW w:w="1876" w:type="dxa"/>
            <w:noWrap w:val="0"/>
            <w:vAlign w:val="center"/>
          </w:tcPr>
          <w:p w14:paraId="67EBB63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methamidophos</w:t>
            </w:r>
          </w:p>
        </w:tc>
        <w:tc>
          <w:tcPr>
            <w:tcW w:w="1448" w:type="dxa"/>
            <w:noWrap w:val="0"/>
            <w:vAlign w:val="center"/>
          </w:tcPr>
          <w:p w14:paraId="7876ABB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w:t>
            </w:r>
          </w:p>
        </w:tc>
        <w:tc>
          <w:tcPr>
            <w:tcW w:w="982" w:type="dxa"/>
            <w:noWrap w:val="0"/>
            <w:vAlign w:val="center"/>
          </w:tcPr>
          <w:p w14:paraId="5636A17F">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高</w:t>
            </w:r>
          </w:p>
        </w:tc>
        <w:tc>
          <w:tcPr>
            <w:tcW w:w="1030" w:type="dxa"/>
            <w:noWrap w:val="0"/>
            <w:vAlign w:val="center"/>
          </w:tcPr>
          <w:p w14:paraId="4153FC27">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蔬菜</w:t>
            </w:r>
          </w:p>
        </w:tc>
        <w:tc>
          <w:tcPr>
            <w:tcW w:w="1739" w:type="dxa"/>
            <w:noWrap w:val="0"/>
            <w:vAlign w:val="center"/>
          </w:tcPr>
          <w:p w14:paraId="281FCC0C">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不得检出</w:t>
            </w:r>
          </w:p>
        </w:tc>
      </w:tr>
      <w:tr w14:paraId="4C9E81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 w:hRule="atLeast"/>
        </w:trPr>
        <w:tc>
          <w:tcPr>
            <w:tcW w:w="1322" w:type="dxa"/>
            <w:noWrap w:val="0"/>
            <w:vAlign w:val="center"/>
          </w:tcPr>
          <w:p w14:paraId="6975294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久效磷</w:t>
            </w:r>
          </w:p>
        </w:tc>
        <w:tc>
          <w:tcPr>
            <w:tcW w:w="1876" w:type="dxa"/>
            <w:noWrap w:val="0"/>
            <w:vAlign w:val="center"/>
          </w:tcPr>
          <w:p w14:paraId="0C0B588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monocrotophos</w:t>
            </w:r>
          </w:p>
        </w:tc>
        <w:tc>
          <w:tcPr>
            <w:tcW w:w="1448" w:type="dxa"/>
            <w:noWrap w:val="0"/>
            <w:vAlign w:val="center"/>
          </w:tcPr>
          <w:p w14:paraId="0A92DB45">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纽瓦克</w:t>
            </w:r>
          </w:p>
        </w:tc>
        <w:tc>
          <w:tcPr>
            <w:tcW w:w="982" w:type="dxa"/>
            <w:noWrap w:val="0"/>
            <w:vAlign w:val="center"/>
          </w:tcPr>
          <w:p w14:paraId="59724B02">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高</w:t>
            </w:r>
          </w:p>
        </w:tc>
        <w:tc>
          <w:tcPr>
            <w:tcW w:w="1030" w:type="dxa"/>
            <w:noWrap w:val="0"/>
            <w:vAlign w:val="center"/>
          </w:tcPr>
          <w:p w14:paraId="3697E3B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蔬菜</w:t>
            </w:r>
          </w:p>
        </w:tc>
        <w:tc>
          <w:tcPr>
            <w:tcW w:w="1739" w:type="dxa"/>
            <w:noWrap w:val="0"/>
            <w:vAlign w:val="center"/>
          </w:tcPr>
          <w:p w14:paraId="542512B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不得检出</w:t>
            </w:r>
          </w:p>
        </w:tc>
      </w:tr>
      <w:tr w14:paraId="172ED1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 w:hRule="atLeast"/>
        </w:trPr>
        <w:tc>
          <w:tcPr>
            <w:tcW w:w="1322" w:type="dxa"/>
            <w:noWrap w:val="0"/>
            <w:vAlign w:val="center"/>
          </w:tcPr>
          <w:p w14:paraId="17FD971B">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氧化乐果</w:t>
            </w:r>
          </w:p>
        </w:tc>
        <w:tc>
          <w:tcPr>
            <w:tcW w:w="1876" w:type="dxa"/>
            <w:noWrap w:val="0"/>
            <w:vAlign w:val="center"/>
          </w:tcPr>
          <w:p w14:paraId="6B484D26">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val="en-US" w:eastAsia="zh-CN"/>
              </w:rPr>
              <w:t>o</w:t>
            </w:r>
            <w:r>
              <w:rPr>
                <w:rFonts w:hint="eastAsia" w:ascii="仿宋" w:hAnsi="仿宋" w:eastAsia="仿宋" w:cs="仿宋"/>
                <w:color w:val="auto"/>
                <w:sz w:val="21"/>
                <w:szCs w:val="21"/>
                <w:highlight w:val="none"/>
                <w:lang w:eastAsia="en-US"/>
              </w:rPr>
              <w:t>methoate</w:t>
            </w:r>
          </w:p>
        </w:tc>
        <w:tc>
          <w:tcPr>
            <w:tcW w:w="1448" w:type="dxa"/>
            <w:noWrap w:val="0"/>
            <w:vAlign w:val="center"/>
          </w:tcPr>
          <w:p w14:paraId="5860596A">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w:t>
            </w:r>
          </w:p>
        </w:tc>
        <w:tc>
          <w:tcPr>
            <w:tcW w:w="982" w:type="dxa"/>
            <w:noWrap w:val="0"/>
            <w:vAlign w:val="center"/>
          </w:tcPr>
          <w:p w14:paraId="04DE3B9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高</w:t>
            </w:r>
          </w:p>
        </w:tc>
        <w:tc>
          <w:tcPr>
            <w:tcW w:w="1030" w:type="dxa"/>
            <w:noWrap w:val="0"/>
            <w:vAlign w:val="center"/>
          </w:tcPr>
          <w:p w14:paraId="2A378A3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蔬菜</w:t>
            </w:r>
          </w:p>
        </w:tc>
        <w:tc>
          <w:tcPr>
            <w:tcW w:w="1739" w:type="dxa"/>
            <w:noWrap w:val="0"/>
            <w:vAlign w:val="center"/>
          </w:tcPr>
          <w:p w14:paraId="2CBD6935">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不得检出</w:t>
            </w:r>
          </w:p>
        </w:tc>
      </w:tr>
      <w:tr w14:paraId="2835D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 w:hRule="atLeast"/>
        </w:trPr>
        <w:tc>
          <w:tcPr>
            <w:tcW w:w="1322" w:type="dxa"/>
            <w:noWrap w:val="0"/>
            <w:vAlign w:val="center"/>
          </w:tcPr>
          <w:p w14:paraId="3D9386A2">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克百威</w:t>
            </w:r>
          </w:p>
        </w:tc>
        <w:tc>
          <w:tcPr>
            <w:tcW w:w="1876" w:type="dxa"/>
            <w:noWrap w:val="0"/>
            <w:vAlign w:val="center"/>
          </w:tcPr>
          <w:p w14:paraId="7185B24C">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carbofuran</w:t>
            </w:r>
          </w:p>
        </w:tc>
        <w:tc>
          <w:tcPr>
            <w:tcW w:w="1448" w:type="dxa"/>
            <w:noWrap w:val="0"/>
            <w:vAlign w:val="center"/>
          </w:tcPr>
          <w:p w14:paraId="78BCF226">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呋喃丹</w:t>
            </w:r>
          </w:p>
        </w:tc>
        <w:tc>
          <w:tcPr>
            <w:tcW w:w="982" w:type="dxa"/>
            <w:noWrap w:val="0"/>
            <w:vAlign w:val="center"/>
          </w:tcPr>
          <w:p w14:paraId="638525B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高</w:t>
            </w:r>
          </w:p>
        </w:tc>
        <w:tc>
          <w:tcPr>
            <w:tcW w:w="1030" w:type="dxa"/>
            <w:noWrap w:val="0"/>
            <w:vAlign w:val="center"/>
          </w:tcPr>
          <w:p w14:paraId="0001FAFE">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蔬菜</w:t>
            </w:r>
          </w:p>
        </w:tc>
        <w:tc>
          <w:tcPr>
            <w:tcW w:w="1739" w:type="dxa"/>
            <w:noWrap w:val="0"/>
            <w:vAlign w:val="center"/>
          </w:tcPr>
          <w:p w14:paraId="73D7E42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不得检出</w:t>
            </w:r>
          </w:p>
        </w:tc>
      </w:tr>
      <w:tr w14:paraId="0EB6CF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 w:hRule="atLeast"/>
        </w:trPr>
        <w:tc>
          <w:tcPr>
            <w:tcW w:w="1322" w:type="dxa"/>
            <w:noWrap w:val="0"/>
            <w:vAlign w:val="center"/>
          </w:tcPr>
          <w:p w14:paraId="5186483F">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涕灭威</w:t>
            </w:r>
          </w:p>
        </w:tc>
        <w:tc>
          <w:tcPr>
            <w:tcW w:w="1876" w:type="dxa"/>
            <w:noWrap w:val="0"/>
            <w:vAlign w:val="center"/>
          </w:tcPr>
          <w:p w14:paraId="569F6016">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aldicarb</w:t>
            </w:r>
          </w:p>
        </w:tc>
        <w:tc>
          <w:tcPr>
            <w:tcW w:w="1448" w:type="dxa"/>
            <w:noWrap w:val="0"/>
            <w:vAlign w:val="center"/>
          </w:tcPr>
          <w:p w14:paraId="555DBC98">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铁灭克</w:t>
            </w:r>
          </w:p>
        </w:tc>
        <w:tc>
          <w:tcPr>
            <w:tcW w:w="982" w:type="dxa"/>
            <w:noWrap w:val="0"/>
            <w:vAlign w:val="center"/>
          </w:tcPr>
          <w:p w14:paraId="21B52A02">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高</w:t>
            </w:r>
          </w:p>
        </w:tc>
        <w:tc>
          <w:tcPr>
            <w:tcW w:w="1030" w:type="dxa"/>
            <w:noWrap w:val="0"/>
            <w:vAlign w:val="center"/>
          </w:tcPr>
          <w:p w14:paraId="4CA9F58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蔬菜</w:t>
            </w:r>
          </w:p>
        </w:tc>
        <w:tc>
          <w:tcPr>
            <w:tcW w:w="1739" w:type="dxa"/>
            <w:noWrap w:val="0"/>
            <w:vAlign w:val="center"/>
          </w:tcPr>
          <w:p w14:paraId="3DB0372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不得检出</w:t>
            </w:r>
          </w:p>
        </w:tc>
      </w:tr>
      <w:tr w14:paraId="2098DD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 w:hRule="atLeast"/>
        </w:trPr>
        <w:tc>
          <w:tcPr>
            <w:tcW w:w="1322" w:type="dxa"/>
            <w:noWrap w:val="0"/>
            <w:vAlign w:val="center"/>
          </w:tcPr>
          <w:p w14:paraId="251B07F8">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六六六</w:t>
            </w:r>
          </w:p>
        </w:tc>
        <w:tc>
          <w:tcPr>
            <w:tcW w:w="1876" w:type="dxa"/>
            <w:noWrap w:val="0"/>
            <w:vAlign w:val="center"/>
          </w:tcPr>
          <w:p w14:paraId="4AED64A7">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BHC</w:t>
            </w:r>
          </w:p>
        </w:tc>
        <w:tc>
          <w:tcPr>
            <w:tcW w:w="1448" w:type="dxa"/>
            <w:noWrap w:val="0"/>
            <w:vAlign w:val="center"/>
          </w:tcPr>
          <w:p w14:paraId="4BBA4CDF">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w:t>
            </w:r>
          </w:p>
        </w:tc>
        <w:tc>
          <w:tcPr>
            <w:tcW w:w="982" w:type="dxa"/>
            <w:noWrap w:val="0"/>
            <w:vAlign w:val="center"/>
          </w:tcPr>
          <w:p w14:paraId="686DB807">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高</w:t>
            </w:r>
          </w:p>
        </w:tc>
        <w:tc>
          <w:tcPr>
            <w:tcW w:w="1030" w:type="dxa"/>
            <w:noWrap w:val="0"/>
            <w:vAlign w:val="center"/>
          </w:tcPr>
          <w:p w14:paraId="40101F6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蔬菜</w:t>
            </w:r>
          </w:p>
        </w:tc>
        <w:tc>
          <w:tcPr>
            <w:tcW w:w="1739" w:type="dxa"/>
            <w:noWrap w:val="0"/>
            <w:vAlign w:val="center"/>
          </w:tcPr>
          <w:p w14:paraId="5384A15F">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0.2</w:t>
            </w:r>
          </w:p>
        </w:tc>
      </w:tr>
      <w:tr w14:paraId="2F7E1D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 w:hRule="atLeast"/>
        </w:trPr>
        <w:tc>
          <w:tcPr>
            <w:tcW w:w="1322" w:type="dxa"/>
            <w:noWrap w:val="0"/>
            <w:vAlign w:val="center"/>
          </w:tcPr>
          <w:p w14:paraId="62436EC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滴滴涕</w:t>
            </w:r>
          </w:p>
        </w:tc>
        <w:tc>
          <w:tcPr>
            <w:tcW w:w="1876" w:type="dxa"/>
            <w:noWrap w:val="0"/>
            <w:vAlign w:val="center"/>
          </w:tcPr>
          <w:p w14:paraId="4C4E0188">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DDT</w:t>
            </w:r>
          </w:p>
        </w:tc>
        <w:tc>
          <w:tcPr>
            <w:tcW w:w="1448" w:type="dxa"/>
            <w:noWrap w:val="0"/>
            <w:vAlign w:val="center"/>
          </w:tcPr>
          <w:p w14:paraId="2CDF43B7">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w:t>
            </w:r>
          </w:p>
        </w:tc>
        <w:tc>
          <w:tcPr>
            <w:tcW w:w="982" w:type="dxa"/>
            <w:noWrap w:val="0"/>
            <w:vAlign w:val="center"/>
          </w:tcPr>
          <w:p w14:paraId="72EA310E">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中</w:t>
            </w:r>
          </w:p>
        </w:tc>
        <w:tc>
          <w:tcPr>
            <w:tcW w:w="1030" w:type="dxa"/>
            <w:noWrap w:val="0"/>
            <w:vAlign w:val="center"/>
          </w:tcPr>
          <w:p w14:paraId="4CE7F53A">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蔬菜</w:t>
            </w:r>
          </w:p>
        </w:tc>
        <w:tc>
          <w:tcPr>
            <w:tcW w:w="1739" w:type="dxa"/>
            <w:noWrap w:val="0"/>
            <w:vAlign w:val="center"/>
          </w:tcPr>
          <w:p w14:paraId="40D839EA">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0.1</w:t>
            </w:r>
          </w:p>
        </w:tc>
      </w:tr>
    </w:tbl>
    <w:p w14:paraId="34B3FF0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表3</w:t>
      </w:r>
      <w:r>
        <w:rPr>
          <w:rFonts w:hint="eastAsia" w:ascii="仿宋" w:hAnsi="仿宋" w:eastAsia="仿宋" w:cs="仿宋"/>
          <w:color w:val="auto"/>
          <w:sz w:val="21"/>
          <w:szCs w:val="21"/>
          <w:highlight w:val="none"/>
        </w:rPr>
        <w:t>机关食堂设备明细清单</w:t>
      </w:r>
    </w:p>
    <w:tbl>
      <w:tblPr>
        <w:tblStyle w:val="18"/>
        <w:tblpPr w:leftFromText="180" w:rightFromText="180" w:vertAnchor="text" w:horzAnchor="page" w:tblpXSpec="center" w:tblpY="175"/>
        <w:tblW w:w="82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9"/>
        <w:gridCol w:w="2414"/>
        <w:gridCol w:w="1781"/>
        <w:gridCol w:w="1277"/>
        <w:gridCol w:w="2057"/>
      </w:tblGrid>
      <w:tr w14:paraId="701189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center"/>
          </w:tcPr>
          <w:p w14:paraId="6440EDD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序号</w:t>
            </w:r>
          </w:p>
        </w:tc>
        <w:tc>
          <w:tcPr>
            <w:tcW w:w="2414" w:type="dxa"/>
            <w:noWrap w:val="0"/>
            <w:vAlign w:val="center"/>
          </w:tcPr>
          <w:p w14:paraId="1F5FA18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名称</w:t>
            </w:r>
          </w:p>
        </w:tc>
        <w:tc>
          <w:tcPr>
            <w:tcW w:w="1781" w:type="dxa"/>
            <w:noWrap w:val="0"/>
            <w:vAlign w:val="center"/>
          </w:tcPr>
          <w:p w14:paraId="6717048E">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单位</w:t>
            </w:r>
          </w:p>
        </w:tc>
        <w:tc>
          <w:tcPr>
            <w:tcW w:w="1277" w:type="dxa"/>
            <w:noWrap w:val="0"/>
            <w:vAlign w:val="center"/>
          </w:tcPr>
          <w:p w14:paraId="219A41E7">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数量</w:t>
            </w:r>
          </w:p>
        </w:tc>
        <w:tc>
          <w:tcPr>
            <w:tcW w:w="2057" w:type="dxa"/>
            <w:noWrap w:val="0"/>
            <w:vAlign w:val="center"/>
          </w:tcPr>
          <w:p w14:paraId="2B24A47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备注</w:t>
            </w:r>
          </w:p>
        </w:tc>
      </w:tr>
      <w:tr w14:paraId="45507E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center"/>
          </w:tcPr>
          <w:p w14:paraId="120D16C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w:t>
            </w:r>
          </w:p>
        </w:tc>
        <w:tc>
          <w:tcPr>
            <w:tcW w:w="2414" w:type="dxa"/>
            <w:noWrap w:val="0"/>
            <w:vAlign w:val="center"/>
          </w:tcPr>
          <w:p w14:paraId="3310074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冰柜</w:t>
            </w:r>
          </w:p>
        </w:tc>
        <w:tc>
          <w:tcPr>
            <w:tcW w:w="1781" w:type="dxa"/>
            <w:noWrap w:val="0"/>
            <w:vAlign w:val="center"/>
          </w:tcPr>
          <w:p w14:paraId="5D17DF0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center"/>
          </w:tcPr>
          <w:p w14:paraId="00BFDD82">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5</w:t>
            </w:r>
          </w:p>
        </w:tc>
        <w:tc>
          <w:tcPr>
            <w:tcW w:w="2057" w:type="dxa"/>
            <w:noWrap w:val="0"/>
            <w:vAlign w:val="center"/>
          </w:tcPr>
          <w:p w14:paraId="4E0C3F6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4 大 1 小</w:t>
            </w:r>
          </w:p>
        </w:tc>
      </w:tr>
      <w:tr w14:paraId="08862A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center"/>
          </w:tcPr>
          <w:p w14:paraId="57C4B4F6">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w:t>
            </w:r>
          </w:p>
        </w:tc>
        <w:tc>
          <w:tcPr>
            <w:tcW w:w="2414" w:type="dxa"/>
            <w:noWrap w:val="0"/>
            <w:vAlign w:val="center"/>
          </w:tcPr>
          <w:p w14:paraId="588C65A1">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消毒柜</w:t>
            </w:r>
          </w:p>
        </w:tc>
        <w:tc>
          <w:tcPr>
            <w:tcW w:w="1781" w:type="dxa"/>
            <w:noWrap w:val="0"/>
            <w:vAlign w:val="center"/>
          </w:tcPr>
          <w:p w14:paraId="58A2D84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center"/>
          </w:tcPr>
          <w:p w14:paraId="64B5FD67">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6</w:t>
            </w:r>
          </w:p>
        </w:tc>
        <w:tc>
          <w:tcPr>
            <w:tcW w:w="2057" w:type="dxa"/>
            <w:noWrap w:val="0"/>
            <w:vAlign w:val="center"/>
          </w:tcPr>
          <w:p w14:paraId="172C3EC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338268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center"/>
          </w:tcPr>
          <w:p w14:paraId="42F6BBA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3</w:t>
            </w:r>
          </w:p>
        </w:tc>
        <w:tc>
          <w:tcPr>
            <w:tcW w:w="2414" w:type="dxa"/>
            <w:noWrap w:val="0"/>
            <w:vAlign w:val="center"/>
          </w:tcPr>
          <w:p w14:paraId="6D1D07AB">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蒸箱</w:t>
            </w:r>
          </w:p>
        </w:tc>
        <w:tc>
          <w:tcPr>
            <w:tcW w:w="1781" w:type="dxa"/>
            <w:noWrap w:val="0"/>
            <w:vAlign w:val="center"/>
          </w:tcPr>
          <w:p w14:paraId="7EBBB2F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center"/>
          </w:tcPr>
          <w:p w14:paraId="20BAD05C">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w:t>
            </w:r>
          </w:p>
        </w:tc>
        <w:tc>
          <w:tcPr>
            <w:tcW w:w="2057" w:type="dxa"/>
            <w:noWrap w:val="0"/>
            <w:vAlign w:val="center"/>
          </w:tcPr>
          <w:p w14:paraId="3B62ED96">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19F9B0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center"/>
          </w:tcPr>
          <w:p w14:paraId="1949D838">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4</w:t>
            </w:r>
          </w:p>
        </w:tc>
        <w:tc>
          <w:tcPr>
            <w:tcW w:w="2414" w:type="dxa"/>
            <w:noWrap w:val="0"/>
            <w:vAlign w:val="center"/>
          </w:tcPr>
          <w:p w14:paraId="4A1DAD7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洗碗机</w:t>
            </w:r>
          </w:p>
        </w:tc>
        <w:tc>
          <w:tcPr>
            <w:tcW w:w="1781" w:type="dxa"/>
            <w:noWrap w:val="0"/>
            <w:vAlign w:val="center"/>
          </w:tcPr>
          <w:p w14:paraId="07DEDFAC">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center"/>
          </w:tcPr>
          <w:p w14:paraId="3111F90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w:t>
            </w:r>
          </w:p>
        </w:tc>
        <w:tc>
          <w:tcPr>
            <w:tcW w:w="2057" w:type="dxa"/>
            <w:noWrap w:val="0"/>
            <w:vAlign w:val="center"/>
          </w:tcPr>
          <w:p w14:paraId="1CBAF4C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20FE5D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center"/>
          </w:tcPr>
          <w:p w14:paraId="1F98457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5</w:t>
            </w:r>
          </w:p>
        </w:tc>
        <w:tc>
          <w:tcPr>
            <w:tcW w:w="2414" w:type="dxa"/>
            <w:noWrap w:val="0"/>
            <w:vAlign w:val="center"/>
          </w:tcPr>
          <w:p w14:paraId="1E558BA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操作柜</w:t>
            </w:r>
          </w:p>
        </w:tc>
        <w:tc>
          <w:tcPr>
            <w:tcW w:w="1781" w:type="dxa"/>
            <w:noWrap w:val="0"/>
            <w:vAlign w:val="center"/>
          </w:tcPr>
          <w:p w14:paraId="5F289A0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center"/>
          </w:tcPr>
          <w:p w14:paraId="7773650F">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10</w:t>
            </w:r>
          </w:p>
        </w:tc>
        <w:tc>
          <w:tcPr>
            <w:tcW w:w="2057" w:type="dxa"/>
            <w:noWrap w:val="0"/>
            <w:vAlign w:val="center"/>
          </w:tcPr>
          <w:p w14:paraId="3422B83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685AE8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center"/>
          </w:tcPr>
          <w:p w14:paraId="08275EE2">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6</w:t>
            </w:r>
          </w:p>
        </w:tc>
        <w:tc>
          <w:tcPr>
            <w:tcW w:w="2414" w:type="dxa"/>
            <w:noWrap w:val="0"/>
            <w:vAlign w:val="center"/>
          </w:tcPr>
          <w:p w14:paraId="75DC8DB1">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热水器</w:t>
            </w:r>
          </w:p>
        </w:tc>
        <w:tc>
          <w:tcPr>
            <w:tcW w:w="1781" w:type="dxa"/>
            <w:noWrap w:val="0"/>
            <w:vAlign w:val="center"/>
          </w:tcPr>
          <w:p w14:paraId="4994284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center"/>
          </w:tcPr>
          <w:p w14:paraId="6FA0D22C">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w:t>
            </w:r>
          </w:p>
        </w:tc>
        <w:tc>
          <w:tcPr>
            <w:tcW w:w="2057" w:type="dxa"/>
            <w:noWrap w:val="0"/>
            <w:vAlign w:val="center"/>
          </w:tcPr>
          <w:p w14:paraId="096ABFAA">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5B0B60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center"/>
          </w:tcPr>
          <w:p w14:paraId="67F02C3B">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7</w:t>
            </w:r>
          </w:p>
        </w:tc>
        <w:tc>
          <w:tcPr>
            <w:tcW w:w="2414" w:type="dxa"/>
            <w:noWrap w:val="0"/>
            <w:vAlign w:val="center"/>
          </w:tcPr>
          <w:p w14:paraId="57730B35">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留样柜</w:t>
            </w:r>
          </w:p>
        </w:tc>
        <w:tc>
          <w:tcPr>
            <w:tcW w:w="1781" w:type="dxa"/>
            <w:noWrap w:val="0"/>
            <w:vAlign w:val="center"/>
          </w:tcPr>
          <w:p w14:paraId="0853348C">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center"/>
          </w:tcPr>
          <w:p w14:paraId="439232D6">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w:t>
            </w:r>
          </w:p>
        </w:tc>
        <w:tc>
          <w:tcPr>
            <w:tcW w:w="2057" w:type="dxa"/>
            <w:noWrap w:val="0"/>
            <w:vAlign w:val="center"/>
          </w:tcPr>
          <w:p w14:paraId="4BC6E16B">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7C4B91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center"/>
          </w:tcPr>
          <w:p w14:paraId="6E6C8A21">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8</w:t>
            </w:r>
          </w:p>
        </w:tc>
        <w:tc>
          <w:tcPr>
            <w:tcW w:w="2414" w:type="dxa"/>
            <w:noWrap w:val="0"/>
            <w:vAlign w:val="center"/>
          </w:tcPr>
          <w:p w14:paraId="623846D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货架</w:t>
            </w:r>
          </w:p>
        </w:tc>
        <w:tc>
          <w:tcPr>
            <w:tcW w:w="1781" w:type="dxa"/>
            <w:noWrap w:val="0"/>
            <w:vAlign w:val="center"/>
          </w:tcPr>
          <w:p w14:paraId="58C10B6B">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center"/>
          </w:tcPr>
          <w:p w14:paraId="48786237">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8</w:t>
            </w:r>
          </w:p>
        </w:tc>
        <w:tc>
          <w:tcPr>
            <w:tcW w:w="2057" w:type="dxa"/>
            <w:noWrap w:val="0"/>
            <w:vAlign w:val="center"/>
          </w:tcPr>
          <w:p w14:paraId="0513BE0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158E74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center"/>
          </w:tcPr>
          <w:p w14:paraId="0681B41E">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9</w:t>
            </w:r>
          </w:p>
        </w:tc>
        <w:tc>
          <w:tcPr>
            <w:tcW w:w="2414" w:type="dxa"/>
            <w:noWrap w:val="0"/>
            <w:vAlign w:val="center"/>
          </w:tcPr>
          <w:p w14:paraId="50AD958B">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电子秤</w:t>
            </w:r>
          </w:p>
        </w:tc>
        <w:tc>
          <w:tcPr>
            <w:tcW w:w="1781" w:type="dxa"/>
            <w:noWrap w:val="0"/>
            <w:vAlign w:val="center"/>
          </w:tcPr>
          <w:p w14:paraId="48B15161">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center"/>
          </w:tcPr>
          <w:p w14:paraId="4A255FFF">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w:t>
            </w:r>
          </w:p>
        </w:tc>
        <w:tc>
          <w:tcPr>
            <w:tcW w:w="2057" w:type="dxa"/>
            <w:noWrap w:val="0"/>
            <w:vAlign w:val="center"/>
          </w:tcPr>
          <w:p w14:paraId="01D94FC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415A9F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center"/>
          </w:tcPr>
          <w:p w14:paraId="45E77F2E">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10</w:t>
            </w:r>
          </w:p>
        </w:tc>
        <w:tc>
          <w:tcPr>
            <w:tcW w:w="2414" w:type="dxa"/>
            <w:noWrap w:val="0"/>
            <w:vAlign w:val="center"/>
          </w:tcPr>
          <w:p w14:paraId="01BD0BF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压面机</w:t>
            </w:r>
          </w:p>
        </w:tc>
        <w:tc>
          <w:tcPr>
            <w:tcW w:w="1781" w:type="dxa"/>
            <w:noWrap w:val="0"/>
            <w:vAlign w:val="center"/>
          </w:tcPr>
          <w:p w14:paraId="52BCFD8A">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center"/>
          </w:tcPr>
          <w:p w14:paraId="207C6FE5">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3</w:t>
            </w:r>
          </w:p>
        </w:tc>
        <w:tc>
          <w:tcPr>
            <w:tcW w:w="2057" w:type="dxa"/>
            <w:noWrap w:val="0"/>
            <w:vAlign w:val="center"/>
          </w:tcPr>
          <w:p w14:paraId="2FC3BB31">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14240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center"/>
          </w:tcPr>
          <w:p w14:paraId="46C7BDE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11</w:t>
            </w:r>
          </w:p>
        </w:tc>
        <w:tc>
          <w:tcPr>
            <w:tcW w:w="2414" w:type="dxa"/>
            <w:noWrap w:val="0"/>
            <w:vAlign w:val="center"/>
          </w:tcPr>
          <w:p w14:paraId="364F0E6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和面机</w:t>
            </w:r>
          </w:p>
        </w:tc>
        <w:tc>
          <w:tcPr>
            <w:tcW w:w="1781" w:type="dxa"/>
            <w:noWrap w:val="0"/>
            <w:vAlign w:val="center"/>
          </w:tcPr>
          <w:p w14:paraId="6718088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center"/>
          </w:tcPr>
          <w:p w14:paraId="75947EEE">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w:t>
            </w:r>
          </w:p>
        </w:tc>
        <w:tc>
          <w:tcPr>
            <w:tcW w:w="2057" w:type="dxa"/>
            <w:noWrap w:val="0"/>
            <w:vAlign w:val="center"/>
          </w:tcPr>
          <w:p w14:paraId="1CEB393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6B1EB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center"/>
          </w:tcPr>
          <w:p w14:paraId="43A86AB2">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12</w:t>
            </w:r>
          </w:p>
        </w:tc>
        <w:tc>
          <w:tcPr>
            <w:tcW w:w="2414" w:type="dxa"/>
            <w:noWrap w:val="0"/>
            <w:vAlign w:val="center"/>
          </w:tcPr>
          <w:p w14:paraId="3E6104E2">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面案操作台</w:t>
            </w:r>
          </w:p>
        </w:tc>
        <w:tc>
          <w:tcPr>
            <w:tcW w:w="1781" w:type="dxa"/>
            <w:noWrap w:val="0"/>
            <w:vAlign w:val="center"/>
          </w:tcPr>
          <w:p w14:paraId="2A2D749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center"/>
          </w:tcPr>
          <w:p w14:paraId="60AC792F">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val="en-US" w:eastAsia="zh-CN"/>
              </w:rPr>
              <w:t>6</w:t>
            </w:r>
          </w:p>
        </w:tc>
        <w:tc>
          <w:tcPr>
            <w:tcW w:w="2057" w:type="dxa"/>
            <w:noWrap w:val="0"/>
            <w:vAlign w:val="center"/>
          </w:tcPr>
          <w:p w14:paraId="43EDAB62">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4F2C09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7B11B6A8">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13</w:t>
            </w:r>
          </w:p>
        </w:tc>
        <w:tc>
          <w:tcPr>
            <w:tcW w:w="2414" w:type="dxa"/>
            <w:noWrap w:val="0"/>
            <w:vAlign w:val="top"/>
          </w:tcPr>
          <w:p w14:paraId="496171F5">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豆浆机</w:t>
            </w:r>
          </w:p>
        </w:tc>
        <w:tc>
          <w:tcPr>
            <w:tcW w:w="1781" w:type="dxa"/>
            <w:noWrap w:val="0"/>
            <w:vAlign w:val="top"/>
          </w:tcPr>
          <w:p w14:paraId="265E50C6">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center"/>
          </w:tcPr>
          <w:p w14:paraId="23854FBC">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w:t>
            </w:r>
          </w:p>
        </w:tc>
        <w:tc>
          <w:tcPr>
            <w:tcW w:w="2057" w:type="dxa"/>
            <w:noWrap w:val="0"/>
            <w:vAlign w:val="center"/>
          </w:tcPr>
          <w:p w14:paraId="0754EE1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778E65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5C4F4995">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14</w:t>
            </w:r>
          </w:p>
        </w:tc>
        <w:tc>
          <w:tcPr>
            <w:tcW w:w="2414" w:type="dxa"/>
            <w:noWrap w:val="0"/>
            <w:vAlign w:val="top"/>
          </w:tcPr>
          <w:p w14:paraId="4EDCD622">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条桌</w:t>
            </w:r>
          </w:p>
        </w:tc>
        <w:tc>
          <w:tcPr>
            <w:tcW w:w="1781" w:type="dxa"/>
            <w:noWrap w:val="0"/>
            <w:vAlign w:val="top"/>
          </w:tcPr>
          <w:p w14:paraId="5BE0A5B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center"/>
          </w:tcPr>
          <w:p w14:paraId="06F13FEB">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13</w:t>
            </w:r>
          </w:p>
        </w:tc>
        <w:tc>
          <w:tcPr>
            <w:tcW w:w="2057" w:type="dxa"/>
            <w:noWrap w:val="0"/>
            <w:vAlign w:val="center"/>
          </w:tcPr>
          <w:p w14:paraId="07B0451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7E5A68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32E6D1CE">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15</w:t>
            </w:r>
          </w:p>
        </w:tc>
        <w:tc>
          <w:tcPr>
            <w:tcW w:w="2414" w:type="dxa"/>
            <w:noWrap w:val="0"/>
            <w:vAlign w:val="top"/>
          </w:tcPr>
          <w:p w14:paraId="772E806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售饭台</w:t>
            </w:r>
          </w:p>
        </w:tc>
        <w:tc>
          <w:tcPr>
            <w:tcW w:w="1781" w:type="dxa"/>
            <w:noWrap w:val="0"/>
            <w:vAlign w:val="top"/>
          </w:tcPr>
          <w:p w14:paraId="4702A0D5">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center"/>
          </w:tcPr>
          <w:p w14:paraId="1C274555">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c>
          <w:tcPr>
            <w:tcW w:w="2057" w:type="dxa"/>
            <w:noWrap w:val="0"/>
            <w:vAlign w:val="center"/>
          </w:tcPr>
          <w:p w14:paraId="436BEEA8">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48D08F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000C6D3C">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16</w:t>
            </w:r>
          </w:p>
        </w:tc>
        <w:tc>
          <w:tcPr>
            <w:tcW w:w="2414" w:type="dxa"/>
            <w:noWrap w:val="0"/>
            <w:vAlign w:val="top"/>
          </w:tcPr>
          <w:p w14:paraId="203CFCC8">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电饼铛</w:t>
            </w:r>
          </w:p>
        </w:tc>
        <w:tc>
          <w:tcPr>
            <w:tcW w:w="1781" w:type="dxa"/>
            <w:noWrap w:val="0"/>
            <w:vAlign w:val="top"/>
          </w:tcPr>
          <w:p w14:paraId="2874A7C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center"/>
          </w:tcPr>
          <w:p w14:paraId="4B7D9B1B">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4</w:t>
            </w:r>
          </w:p>
        </w:tc>
        <w:tc>
          <w:tcPr>
            <w:tcW w:w="2057" w:type="dxa"/>
            <w:noWrap w:val="0"/>
            <w:vAlign w:val="center"/>
          </w:tcPr>
          <w:p w14:paraId="34C04B1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58EE10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14A72075">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17</w:t>
            </w:r>
          </w:p>
        </w:tc>
        <w:tc>
          <w:tcPr>
            <w:tcW w:w="2414" w:type="dxa"/>
            <w:noWrap w:val="0"/>
            <w:vAlign w:val="top"/>
          </w:tcPr>
          <w:p w14:paraId="5664144E">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调料柜</w:t>
            </w:r>
          </w:p>
        </w:tc>
        <w:tc>
          <w:tcPr>
            <w:tcW w:w="1781" w:type="dxa"/>
            <w:noWrap w:val="0"/>
            <w:vAlign w:val="top"/>
          </w:tcPr>
          <w:p w14:paraId="58A2D385">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top"/>
          </w:tcPr>
          <w:p w14:paraId="67F9745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8</w:t>
            </w:r>
          </w:p>
        </w:tc>
        <w:tc>
          <w:tcPr>
            <w:tcW w:w="2057" w:type="dxa"/>
            <w:noWrap w:val="0"/>
            <w:vAlign w:val="top"/>
          </w:tcPr>
          <w:p w14:paraId="13CE6E88">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4A1EA1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27EF535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18</w:t>
            </w:r>
          </w:p>
        </w:tc>
        <w:tc>
          <w:tcPr>
            <w:tcW w:w="2414" w:type="dxa"/>
            <w:noWrap w:val="0"/>
            <w:vAlign w:val="top"/>
          </w:tcPr>
          <w:p w14:paraId="2B91FE9A">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调料车</w:t>
            </w:r>
          </w:p>
        </w:tc>
        <w:tc>
          <w:tcPr>
            <w:tcW w:w="1781" w:type="dxa"/>
            <w:noWrap w:val="0"/>
            <w:vAlign w:val="top"/>
          </w:tcPr>
          <w:p w14:paraId="0376C20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top"/>
          </w:tcPr>
          <w:p w14:paraId="7EFAF3EF">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w:t>
            </w:r>
          </w:p>
        </w:tc>
        <w:tc>
          <w:tcPr>
            <w:tcW w:w="2057" w:type="dxa"/>
            <w:noWrap w:val="0"/>
            <w:vAlign w:val="top"/>
          </w:tcPr>
          <w:p w14:paraId="14FEF022">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116677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5060D98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19</w:t>
            </w:r>
          </w:p>
        </w:tc>
        <w:tc>
          <w:tcPr>
            <w:tcW w:w="2414" w:type="dxa"/>
            <w:noWrap w:val="0"/>
            <w:vAlign w:val="top"/>
          </w:tcPr>
          <w:p w14:paraId="542E8176">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洗菜台</w:t>
            </w:r>
          </w:p>
        </w:tc>
        <w:tc>
          <w:tcPr>
            <w:tcW w:w="1781" w:type="dxa"/>
            <w:noWrap w:val="0"/>
            <w:vAlign w:val="top"/>
          </w:tcPr>
          <w:p w14:paraId="563A7AB7">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top"/>
          </w:tcPr>
          <w:p w14:paraId="20C0A581">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16</w:t>
            </w:r>
          </w:p>
        </w:tc>
        <w:tc>
          <w:tcPr>
            <w:tcW w:w="2057" w:type="dxa"/>
            <w:noWrap w:val="0"/>
            <w:vAlign w:val="top"/>
          </w:tcPr>
          <w:p w14:paraId="63D29BD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54582D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2CA67E9B">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20</w:t>
            </w:r>
          </w:p>
        </w:tc>
        <w:tc>
          <w:tcPr>
            <w:tcW w:w="2414" w:type="dxa"/>
            <w:noWrap w:val="0"/>
            <w:vAlign w:val="top"/>
          </w:tcPr>
          <w:p w14:paraId="2443C2A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灶台</w:t>
            </w:r>
          </w:p>
        </w:tc>
        <w:tc>
          <w:tcPr>
            <w:tcW w:w="1781" w:type="dxa"/>
            <w:noWrap w:val="0"/>
            <w:vAlign w:val="top"/>
          </w:tcPr>
          <w:p w14:paraId="3FA53DEA">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top"/>
          </w:tcPr>
          <w:p w14:paraId="530480E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8</w:t>
            </w:r>
          </w:p>
        </w:tc>
        <w:tc>
          <w:tcPr>
            <w:tcW w:w="2057" w:type="dxa"/>
            <w:noWrap w:val="0"/>
            <w:vAlign w:val="top"/>
          </w:tcPr>
          <w:p w14:paraId="08AA537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0F46FE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6F4351C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21</w:t>
            </w:r>
          </w:p>
        </w:tc>
        <w:tc>
          <w:tcPr>
            <w:tcW w:w="2414" w:type="dxa"/>
            <w:noWrap w:val="0"/>
            <w:vAlign w:val="top"/>
          </w:tcPr>
          <w:p w14:paraId="20DC307F">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微波炉</w:t>
            </w:r>
          </w:p>
        </w:tc>
        <w:tc>
          <w:tcPr>
            <w:tcW w:w="1781" w:type="dxa"/>
            <w:noWrap w:val="0"/>
            <w:vAlign w:val="top"/>
          </w:tcPr>
          <w:p w14:paraId="04E9B12E">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top"/>
          </w:tcPr>
          <w:p w14:paraId="3B556F9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w:t>
            </w:r>
          </w:p>
        </w:tc>
        <w:tc>
          <w:tcPr>
            <w:tcW w:w="2057" w:type="dxa"/>
            <w:noWrap w:val="0"/>
            <w:vAlign w:val="top"/>
          </w:tcPr>
          <w:p w14:paraId="48F0070B">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394B63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291CE3D6">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22</w:t>
            </w:r>
          </w:p>
        </w:tc>
        <w:tc>
          <w:tcPr>
            <w:tcW w:w="2414" w:type="dxa"/>
            <w:noWrap w:val="0"/>
            <w:vAlign w:val="top"/>
          </w:tcPr>
          <w:p w14:paraId="6EDDF30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保洁柜</w:t>
            </w:r>
          </w:p>
        </w:tc>
        <w:tc>
          <w:tcPr>
            <w:tcW w:w="1781" w:type="dxa"/>
            <w:noWrap w:val="0"/>
            <w:vAlign w:val="top"/>
          </w:tcPr>
          <w:p w14:paraId="49CCFF4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top"/>
          </w:tcPr>
          <w:p w14:paraId="57CA52F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w:t>
            </w:r>
          </w:p>
        </w:tc>
        <w:tc>
          <w:tcPr>
            <w:tcW w:w="2057" w:type="dxa"/>
            <w:noWrap w:val="0"/>
            <w:vAlign w:val="top"/>
          </w:tcPr>
          <w:p w14:paraId="480F583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1F6454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2AF9B882">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23</w:t>
            </w:r>
          </w:p>
        </w:tc>
        <w:tc>
          <w:tcPr>
            <w:tcW w:w="2414" w:type="dxa"/>
            <w:noWrap w:val="0"/>
            <w:vAlign w:val="top"/>
          </w:tcPr>
          <w:p w14:paraId="487325BC">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筷子柜</w:t>
            </w:r>
          </w:p>
        </w:tc>
        <w:tc>
          <w:tcPr>
            <w:tcW w:w="1781" w:type="dxa"/>
            <w:noWrap w:val="0"/>
            <w:vAlign w:val="top"/>
          </w:tcPr>
          <w:p w14:paraId="2070797C">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top"/>
          </w:tcPr>
          <w:p w14:paraId="13E722C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w:t>
            </w:r>
          </w:p>
        </w:tc>
        <w:tc>
          <w:tcPr>
            <w:tcW w:w="2057" w:type="dxa"/>
            <w:noWrap w:val="0"/>
            <w:vAlign w:val="top"/>
          </w:tcPr>
          <w:p w14:paraId="4EE18CDF">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477788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30A4F3A5">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24</w:t>
            </w:r>
          </w:p>
        </w:tc>
        <w:tc>
          <w:tcPr>
            <w:tcW w:w="2414" w:type="dxa"/>
            <w:noWrap w:val="0"/>
            <w:vAlign w:val="top"/>
          </w:tcPr>
          <w:p w14:paraId="041A253C">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就餐桌</w:t>
            </w:r>
          </w:p>
        </w:tc>
        <w:tc>
          <w:tcPr>
            <w:tcW w:w="1781" w:type="dxa"/>
            <w:noWrap w:val="0"/>
            <w:vAlign w:val="top"/>
          </w:tcPr>
          <w:p w14:paraId="21C8C5B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张</w:t>
            </w:r>
          </w:p>
        </w:tc>
        <w:tc>
          <w:tcPr>
            <w:tcW w:w="1277" w:type="dxa"/>
            <w:noWrap w:val="0"/>
            <w:vAlign w:val="top"/>
          </w:tcPr>
          <w:p w14:paraId="1F55DFD7">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108</w:t>
            </w:r>
          </w:p>
        </w:tc>
        <w:tc>
          <w:tcPr>
            <w:tcW w:w="2057" w:type="dxa"/>
            <w:noWrap w:val="0"/>
            <w:vAlign w:val="top"/>
          </w:tcPr>
          <w:p w14:paraId="6A9427B6">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697B6F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17AE9AC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25</w:t>
            </w:r>
          </w:p>
        </w:tc>
        <w:tc>
          <w:tcPr>
            <w:tcW w:w="2414" w:type="dxa"/>
            <w:noWrap w:val="0"/>
            <w:vAlign w:val="top"/>
          </w:tcPr>
          <w:p w14:paraId="53D5F48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更衣柜</w:t>
            </w:r>
          </w:p>
        </w:tc>
        <w:tc>
          <w:tcPr>
            <w:tcW w:w="1781" w:type="dxa"/>
            <w:noWrap w:val="0"/>
            <w:vAlign w:val="top"/>
          </w:tcPr>
          <w:p w14:paraId="77F72E8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top"/>
          </w:tcPr>
          <w:p w14:paraId="55FD819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w:t>
            </w:r>
          </w:p>
        </w:tc>
        <w:tc>
          <w:tcPr>
            <w:tcW w:w="2057" w:type="dxa"/>
            <w:noWrap w:val="0"/>
            <w:vAlign w:val="top"/>
          </w:tcPr>
          <w:p w14:paraId="473723F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2D1007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78A279D5">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26</w:t>
            </w:r>
          </w:p>
        </w:tc>
        <w:tc>
          <w:tcPr>
            <w:tcW w:w="2414" w:type="dxa"/>
            <w:noWrap w:val="0"/>
            <w:vAlign w:val="top"/>
          </w:tcPr>
          <w:p w14:paraId="6BC4044C">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空调</w:t>
            </w:r>
          </w:p>
        </w:tc>
        <w:tc>
          <w:tcPr>
            <w:tcW w:w="1781" w:type="dxa"/>
            <w:noWrap w:val="0"/>
            <w:vAlign w:val="top"/>
          </w:tcPr>
          <w:p w14:paraId="3D3218FF">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top"/>
          </w:tcPr>
          <w:p w14:paraId="78B21DB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10</w:t>
            </w:r>
          </w:p>
        </w:tc>
        <w:tc>
          <w:tcPr>
            <w:tcW w:w="2057" w:type="dxa"/>
            <w:noWrap w:val="0"/>
            <w:vAlign w:val="top"/>
          </w:tcPr>
          <w:p w14:paraId="518AF61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722F73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493794D6">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27</w:t>
            </w:r>
          </w:p>
        </w:tc>
        <w:tc>
          <w:tcPr>
            <w:tcW w:w="2414" w:type="dxa"/>
            <w:noWrap w:val="0"/>
            <w:vAlign w:val="top"/>
          </w:tcPr>
          <w:p w14:paraId="0A0A9026">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电风扇</w:t>
            </w:r>
          </w:p>
        </w:tc>
        <w:tc>
          <w:tcPr>
            <w:tcW w:w="1781" w:type="dxa"/>
            <w:noWrap w:val="0"/>
            <w:vAlign w:val="top"/>
          </w:tcPr>
          <w:p w14:paraId="15C1063C">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top"/>
          </w:tcPr>
          <w:p w14:paraId="6517EF9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3</w:t>
            </w:r>
          </w:p>
        </w:tc>
        <w:tc>
          <w:tcPr>
            <w:tcW w:w="2057" w:type="dxa"/>
            <w:noWrap w:val="0"/>
            <w:vAlign w:val="top"/>
          </w:tcPr>
          <w:p w14:paraId="72303391">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两大一小</w:t>
            </w:r>
          </w:p>
        </w:tc>
      </w:tr>
      <w:tr w14:paraId="07CA3E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0960018F">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28</w:t>
            </w:r>
          </w:p>
        </w:tc>
        <w:tc>
          <w:tcPr>
            <w:tcW w:w="2414" w:type="dxa"/>
            <w:noWrap w:val="0"/>
            <w:vAlign w:val="top"/>
          </w:tcPr>
          <w:p w14:paraId="6D30D3B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不锈钢小碗</w:t>
            </w:r>
          </w:p>
        </w:tc>
        <w:tc>
          <w:tcPr>
            <w:tcW w:w="1781" w:type="dxa"/>
            <w:noWrap w:val="0"/>
            <w:vAlign w:val="top"/>
          </w:tcPr>
          <w:p w14:paraId="3BA71E07">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个</w:t>
            </w:r>
          </w:p>
        </w:tc>
        <w:tc>
          <w:tcPr>
            <w:tcW w:w="1277" w:type="dxa"/>
            <w:noWrap w:val="0"/>
            <w:vAlign w:val="top"/>
          </w:tcPr>
          <w:p w14:paraId="2309756E">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600</w:t>
            </w:r>
          </w:p>
        </w:tc>
        <w:tc>
          <w:tcPr>
            <w:tcW w:w="2057" w:type="dxa"/>
            <w:noWrap w:val="0"/>
            <w:vAlign w:val="top"/>
          </w:tcPr>
          <w:p w14:paraId="7BB2A50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363022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34EDA70E">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29</w:t>
            </w:r>
          </w:p>
        </w:tc>
        <w:tc>
          <w:tcPr>
            <w:tcW w:w="2414" w:type="dxa"/>
            <w:noWrap w:val="0"/>
            <w:vAlign w:val="top"/>
          </w:tcPr>
          <w:p w14:paraId="5589239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不锈钢大碗</w:t>
            </w:r>
          </w:p>
        </w:tc>
        <w:tc>
          <w:tcPr>
            <w:tcW w:w="1781" w:type="dxa"/>
            <w:noWrap w:val="0"/>
            <w:vAlign w:val="top"/>
          </w:tcPr>
          <w:p w14:paraId="1F114207">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个</w:t>
            </w:r>
          </w:p>
        </w:tc>
        <w:tc>
          <w:tcPr>
            <w:tcW w:w="1277" w:type="dxa"/>
            <w:noWrap w:val="0"/>
            <w:vAlign w:val="top"/>
          </w:tcPr>
          <w:p w14:paraId="7FF8F4C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450</w:t>
            </w:r>
          </w:p>
        </w:tc>
        <w:tc>
          <w:tcPr>
            <w:tcW w:w="2057" w:type="dxa"/>
            <w:noWrap w:val="0"/>
            <w:vAlign w:val="top"/>
          </w:tcPr>
          <w:p w14:paraId="2F3A544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06C414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3C31DAAA">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30</w:t>
            </w:r>
          </w:p>
        </w:tc>
        <w:tc>
          <w:tcPr>
            <w:tcW w:w="2414" w:type="dxa"/>
            <w:noWrap w:val="0"/>
            <w:vAlign w:val="top"/>
          </w:tcPr>
          <w:p w14:paraId="584EC115">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不锈钢餐盘</w:t>
            </w:r>
          </w:p>
        </w:tc>
        <w:tc>
          <w:tcPr>
            <w:tcW w:w="1781" w:type="dxa"/>
            <w:noWrap w:val="0"/>
            <w:vAlign w:val="top"/>
          </w:tcPr>
          <w:p w14:paraId="3053325A">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个</w:t>
            </w:r>
          </w:p>
        </w:tc>
        <w:tc>
          <w:tcPr>
            <w:tcW w:w="1277" w:type="dxa"/>
            <w:noWrap w:val="0"/>
            <w:vAlign w:val="top"/>
          </w:tcPr>
          <w:p w14:paraId="2C2EABA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600</w:t>
            </w:r>
          </w:p>
        </w:tc>
        <w:tc>
          <w:tcPr>
            <w:tcW w:w="2057" w:type="dxa"/>
            <w:noWrap w:val="0"/>
            <w:vAlign w:val="top"/>
          </w:tcPr>
          <w:p w14:paraId="5178023C">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5ED128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4DD6826B">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31</w:t>
            </w:r>
          </w:p>
        </w:tc>
        <w:tc>
          <w:tcPr>
            <w:tcW w:w="2414" w:type="dxa"/>
            <w:noWrap w:val="0"/>
            <w:vAlign w:val="top"/>
          </w:tcPr>
          <w:p w14:paraId="611D3CE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不锈钢方形盘</w:t>
            </w:r>
          </w:p>
        </w:tc>
        <w:tc>
          <w:tcPr>
            <w:tcW w:w="1781" w:type="dxa"/>
            <w:noWrap w:val="0"/>
            <w:vAlign w:val="top"/>
          </w:tcPr>
          <w:p w14:paraId="67340B9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个</w:t>
            </w:r>
          </w:p>
        </w:tc>
        <w:tc>
          <w:tcPr>
            <w:tcW w:w="1277" w:type="dxa"/>
            <w:noWrap w:val="0"/>
            <w:vAlign w:val="top"/>
          </w:tcPr>
          <w:p w14:paraId="27697B81">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40</w:t>
            </w:r>
          </w:p>
        </w:tc>
        <w:tc>
          <w:tcPr>
            <w:tcW w:w="2057" w:type="dxa"/>
            <w:noWrap w:val="0"/>
            <w:vAlign w:val="top"/>
          </w:tcPr>
          <w:p w14:paraId="5D9592B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4D7A9F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702762D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32</w:t>
            </w:r>
          </w:p>
        </w:tc>
        <w:tc>
          <w:tcPr>
            <w:tcW w:w="2414" w:type="dxa"/>
            <w:noWrap w:val="0"/>
            <w:vAlign w:val="top"/>
          </w:tcPr>
          <w:p w14:paraId="12397DB6">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不锈钢调料盆</w:t>
            </w:r>
          </w:p>
        </w:tc>
        <w:tc>
          <w:tcPr>
            <w:tcW w:w="1781" w:type="dxa"/>
            <w:noWrap w:val="0"/>
            <w:vAlign w:val="top"/>
          </w:tcPr>
          <w:p w14:paraId="02BB6988">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个</w:t>
            </w:r>
          </w:p>
        </w:tc>
        <w:tc>
          <w:tcPr>
            <w:tcW w:w="1277" w:type="dxa"/>
            <w:noWrap w:val="0"/>
            <w:vAlign w:val="top"/>
          </w:tcPr>
          <w:p w14:paraId="07B16236">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20</w:t>
            </w:r>
          </w:p>
        </w:tc>
        <w:tc>
          <w:tcPr>
            <w:tcW w:w="2057" w:type="dxa"/>
            <w:noWrap w:val="0"/>
            <w:vAlign w:val="top"/>
          </w:tcPr>
          <w:p w14:paraId="56BAB5C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0795D4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1C10AF4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33</w:t>
            </w:r>
          </w:p>
        </w:tc>
        <w:tc>
          <w:tcPr>
            <w:tcW w:w="2414" w:type="dxa"/>
            <w:noWrap w:val="0"/>
            <w:vAlign w:val="top"/>
          </w:tcPr>
          <w:p w14:paraId="76F79745">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不锈钢油盆</w:t>
            </w:r>
          </w:p>
        </w:tc>
        <w:tc>
          <w:tcPr>
            <w:tcW w:w="1781" w:type="dxa"/>
            <w:noWrap w:val="0"/>
            <w:vAlign w:val="top"/>
          </w:tcPr>
          <w:p w14:paraId="6E9F864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个</w:t>
            </w:r>
          </w:p>
        </w:tc>
        <w:tc>
          <w:tcPr>
            <w:tcW w:w="1277" w:type="dxa"/>
            <w:noWrap w:val="0"/>
            <w:vAlign w:val="top"/>
          </w:tcPr>
          <w:p w14:paraId="02A18FBC">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15</w:t>
            </w:r>
          </w:p>
        </w:tc>
        <w:tc>
          <w:tcPr>
            <w:tcW w:w="2057" w:type="dxa"/>
            <w:noWrap w:val="0"/>
            <w:vAlign w:val="top"/>
          </w:tcPr>
          <w:p w14:paraId="1E32F368">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61FF89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6C9BC082">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34</w:t>
            </w:r>
          </w:p>
        </w:tc>
        <w:tc>
          <w:tcPr>
            <w:tcW w:w="2414" w:type="dxa"/>
            <w:noWrap w:val="0"/>
            <w:vAlign w:val="top"/>
          </w:tcPr>
          <w:p w14:paraId="21F1899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不锈钢汤桶</w:t>
            </w:r>
          </w:p>
        </w:tc>
        <w:tc>
          <w:tcPr>
            <w:tcW w:w="1781" w:type="dxa"/>
            <w:noWrap w:val="0"/>
            <w:vAlign w:val="top"/>
          </w:tcPr>
          <w:p w14:paraId="7C8C7AEA">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个</w:t>
            </w:r>
          </w:p>
        </w:tc>
        <w:tc>
          <w:tcPr>
            <w:tcW w:w="1277" w:type="dxa"/>
            <w:noWrap w:val="0"/>
            <w:vAlign w:val="top"/>
          </w:tcPr>
          <w:p w14:paraId="6CC656FA">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6</w:t>
            </w:r>
          </w:p>
        </w:tc>
        <w:tc>
          <w:tcPr>
            <w:tcW w:w="2057" w:type="dxa"/>
            <w:noWrap w:val="0"/>
            <w:vAlign w:val="top"/>
          </w:tcPr>
          <w:p w14:paraId="159B42B7">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7682A3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177CD4A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35</w:t>
            </w:r>
          </w:p>
        </w:tc>
        <w:tc>
          <w:tcPr>
            <w:tcW w:w="2414" w:type="dxa"/>
            <w:noWrap w:val="0"/>
            <w:vAlign w:val="top"/>
          </w:tcPr>
          <w:p w14:paraId="76EA834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塑料菜墩子</w:t>
            </w:r>
          </w:p>
        </w:tc>
        <w:tc>
          <w:tcPr>
            <w:tcW w:w="1781" w:type="dxa"/>
            <w:noWrap w:val="0"/>
            <w:vAlign w:val="top"/>
          </w:tcPr>
          <w:p w14:paraId="65CB092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个</w:t>
            </w:r>
          </w:p>
        </w:tc>
        <w:tc>
          <w:tcPr>
            <w:tcW w:w="1277" w:type="dxa"/>
            <w:noWrap w:val="0"/>
            <w:vAlign w:val="top"/>
          </w:tcPr>
          <w:p w14:paraId="44958BF2">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30</w:t>
            </w:r>
          </w:p>
        </w:tc>
        <w:tc>
          <w:tcPr>
            <w:tcW w:w="2057" w:type="dxa"/>
            <w:noWrap w:val="0"/>
            <w:vAlign w:val="top"/>
          </w:tcPr>
          <w:p w14:paraId="39F558B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0A7037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4B3ADB6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36</w:t>
            </w:r>
          </w:p>
        </w:tc>
        <w:tc>
          <w:tcPr>
            <w:tcW w:w="2414" w:type="dxa"/>
            <w:noWrap w:val="0"/>
            <w:vAlign w:val="top"/>
          </w:tcPr>
          <w:p w14:paraId="6979EF1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不锈钢小汤桶</w:t>
            </w:r>
          </w:p>
        </w:tc>
        <w:tc>
          <w:tcPr>
            <w:tcW w:w="1781" w:type="dxa"/>
            <w:noWrap w:val="0"/>
            <w:vAlign w:val="top"/>
          </w:tcPr>
          <w:p w14:paraId="7A2DB4E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个</w:t>
            </w:r>
          </w:p>
        </w:tc>
        <w:tc>
          <w:tcPr>
            <w:tcW w:w="1277" w:type="dxa"/>
            <w:noWrap w:val="0"/>
            <w:vAlign w:val="top"/>
          </w:tcPr>
          <w:p w14:paraId="17619488">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3</w:t>
            </w:r>
          </w:p>
        </w:tc>
        <w:tc>
          <w:tcPr>
            <w:tcW w:w="2057" w:type="dxa"/>
            <w:noWrap w:val="0"/>
            <w:vAlign w:val="top"/>
          </w:tcPr>
          <w:p w14:paraId="21317CB7">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7B5552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1072BD9E">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37</w:t>
            </w:r>
          </w:p>
        </w:tc>
        <w:tc>
          <w:tcPr>
            <w:tcW w:w="2414" w:type="dxa"/>
            <w:noWrap w:val="0"/>
            <w:vAlign w:val="top"/>
          </w:tcPr>
          <w:p w14:paraId="4AF738FC">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菜刀</w:t>
            </w:r>
          </w:p>
        </w:tc>
        <w:tc>
          <w:tcPr>
            <w:tcW w:w="1781" w:type="dxa"/>
            <w:noWrap w:val="0"/>
            <w:vAlign w:val="top"/>
          </w:tcPr>
          <w:p w14:paraId="502E6CEB">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把</w:t>
            </w:r>
          </w:p>
        </w:tc>
        <w:tc>
          <w:tcPr>
            <w:tcW w:w="1277" w:type="dxa"/>
            <w:noWrap w:val="0"/>
            <w:vAlign w:val="top"/>
          </w:tcPr>
          <w:p w14:paraId="1BEBE60B">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25</w:t>
            </w:r>
          </w:p>
        </w:tc>
        <w:tc>
          <w:tcPr>
            <w:tcW w:w="2057" w:type="dxa"/>
            <w:noWrap w:val="0"/>
            <w:vAlign w:val="top"/>
          </w:tcPr>
          <w:p w14:paraId="3E8D896E">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4BF408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06520A98">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38</w:t>
            </w:r>
          </w:p>
        </w:tc>
        <w:tc>
          <w:tcPr>
            <w:tcW w:w="2414" w:type="dxa"/>
            <w:noWrap w:val="0"/>
            <w:vAlign w:val="top"/>
          </w:tcPr>
          <w:p w14:paraId="3D5725E6">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塑料保鲜盒</w:t>
            </w:r>
          </w:p>
        </w:tc>
        <w:tc>
          <w:tcPr>
            <w:tcW w:w="1781" w:type="dxa"/>
            <w:noWrap w:val="0"/>
            <w:vAlign w:val="top"/>
          </w:tcPr>
          <w:p w14:paraId="45D1D8AE">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个</w:t>
            </w:r>
          </w:p>
        </w:tc>
        <w:tc>
          <w:tcPr>
            <w:tcW w:w="1277" w:type="dxa"/>
            <w:noWrap w:val="0"/>
            <w:vAlign w:val="top"/>
          </w:tcPr>
          <w:p w14:paraId="3B366D2A">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30</w:t>
            </w:r>
          </w:p>
        </w:tc>
        <w:tc>
          <w:tcPr>
            <w:tcW w:w="2057" w:type="dxa"/>
            <w:noWrap w:val="0"/>
            <w:vAlign w:val="top"/>
          </w:tcPr>
          <w:p w14:paraId="16808D1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3E72EF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661435C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39</w:t>
            </w:r>
          </w:p>
        </w:tc>
        <w:tc>
          <w:tcPr>
            <w:tcW w:w="2414" w:type="dxa"/>
            <w:noWrap w:val="0"/>
            <w:vAlign w:val="top"/>
          </w:tcPr>
          <w:p w14:paraId="041F49A5">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不锈钢漏勺</w:t>
            </w:r>
          </w:p>
        </w:tc>
        <w:tc>
          <w:tcPr>
            <w:tcW w:w="1781" w:type="dxa"/>
            <w:noWrap w:val="0"/>
            <w:vAlign w:val="top"/>
          </w:tcPr>
          <w:p w14:paraId="4C57A3F1">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把</w:t>
            </w:r>
          </w:p>
        </w:tc>
        <w:tc>
          <w:tcPr>
            <w:tcW w:w="1277" w:type="dxa"/>
            <w:noWrap w:val="0"/>
            <w:vAlign w:val="top"/>
          </w:tcPr>
          <w:p w14:paraId="267D1CB1">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20</w:t>
            </w:r>
          </w:p>
        </w:tc>
        <w:tc>
          <w:tcPr>
            <w:tcW w:w="2057" w:type="dxa"/>
            <w:noWrap w:val="0"/>
            <w:vAlign w:val="top"/>
          </w:tcPr>
          <w:p w14:paraId="5D65983B">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784BFE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3F0B286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40</w:t>
            </w:r>
          </w:p>
        </w:tc>
        <w:tc>
          <w:tcPr>
            <w:tcW w:w="2414" w:type="dxa"/>
            <w:noWrap w:val="0"/>
            <w:vAlign w:val="top"/>
          </w:tcPr>
          <w:p w14:paraId="22166F3C">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电压力锅</w:t>
            </w:r>
          </w:p>
        </w:tc>
        <w:tc>
          <w:tcPr>
            <w:tcW w:w="1781" w:type="dxa"/>
            <w:noWrap w:val="0"/>
            <w:vAlign w:val="top"/>
          </w:tcPr>
          <w:p w14:paraId="2C302D36">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top"/>
          </w:tcPr>
          <w:p w14:paraId="019CBEC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w:t>
            </w:r>
          </w:p>
        </w:tc>
        <w:tc>
          <w:tcPr>
            <w:tcW w:w="2057" w:type="dxa"/>
            <w:noWrap w:val="0"/>
            <w:vAlign w:val="top"/>
          </w:tcPr>
          <w:p w14:paraId="3040FB6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63E7C1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7A0F235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41</w:t>
            </w:r>
          </w:p>
        </w:tc>
        <w:tc>
          <w:tcPr>
            <w:tcW w:w="2414" w:type="dxa"/>
            <w:noWrap w:val="0"/>
            <w:vAlign w:val="top"/>
          </w:tcPr>
          <w:p w14:paraId="2FE4869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不锈钢盆子</w:t>
            </w:r>
          </w:p>
        </w:tc>
        <w:tc>
          <w:tcPr>
            <w:tcW w:w="1781" w:type="dxa"/>
            <w:noWrap w:val="0"/>
            <w:vAlign w:val="top"/>
          </w:tcPr>
          <w:p w14:paraId="586EE6CE">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个</w:t>
            </w:r>
          </w:p>
        </w:tc>
        <w:tc>
          <w:tcPr>
            <w:tcW w:w="1277" w:type="dxa"/>
            <w:noWrap w:val="0"/>
            <w:vAlign w:val="top"/>
          </w:tcPr>
          <w:p w14:paraId="21A9D2B1">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50</w:t>
            </w:r>
          </w:p>
        </w:tc>
        <w:tc>
          <w:tcPr>
            <w:tcW w:w="2057" w:type="dxa"/>
            <w:noWrap w:val="0"/>
            <w:vAlign w:val="top"/>
          </w:tcPr>
          <w:p w14:paraId="43EB929A">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大10个小40 个</w:t>
            </w:r>
          </w:p>
        </w:tc>
      </w:tr>
      <w:tr w14:paraId="178858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056183A1">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42</w:t>
            </w:r>
          </w:p>
        </w:tc>
        <w:tc>
          <w:tcPr>
            <w:tcW w:w="2414" w:type="dxa"/>
            <w:noWrap w:val="0"/>
            <w:vAlign w:val="top"/>
          </w:tcPr>
          <w:p w14:paraId="678B41FA">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不锈钢水瓢</w:t>
            </w:r>
          </w:p>
        </w:tc>
        <w:tc>
          <w:tcPr>
            <w:tcW w:w="1781" w:type="dxa"/>
            <w:noWrap w:val="0"/>
            <w:vAlign w:val="top"/>
          </w:tcPr>
          <w:p w14:paraId="4DE0BFBF">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个</w:t>
            </w:r>
          </w:p>
        </w:tc>
        <w:tc>
          <w:tcPr>
            <w:tcW w:w="1277" w:type="dxa"/>
            <w:noWrap w:val="0"/>
            <w:vAlign w:val="top"/>
          </w:tcPr>
          <w:p w14:paraId="124AB91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10</w:t>
            </w:r>
          </w:p>
        </w:tc>
        <w:tc>
          <w:tcPr>
            <w:tcW w:w="2057" w:type="dxa"/>
            <w:noWrap w:val="0"/>
            <w:vAlign w:val="top"/>
          </w:tcPr>
          <w:p w14:paraId="73520771">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10A383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6C7C5B77">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43</w:t>
            </w:r>
          </w:p>
        </w:tc>
        <w:tc>
          <w:tcPr>
            <w:tcW w:w="2414" w:type="dxa"/>
            <w:noWrap w:val="0"/>
            <w:vAlign w:val="top"/>
          </w:tcPr>
          <w:p w14:paraId="549166E0">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剩菜回收台</w:t>
            </w:r>
          </w:p>
        </w:tc>
        <w:tc>
          <w:tcPr>
            <w:tcW w:w="1781" w:type="dxa"/>
            <w:noWrap w:val="0"/>
            <w:vAlign w:val="top"/>
          </w:tcPr>
          <w:p w14:paraId="580E7072">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台</w:t>
            </w:r>
          </w:p>
        </w:tc>
        <w:tc>
          <w:tcPr>
            <w:tcW w:w="1277" w:type="dxa"/>
            <w:noWrap w:val="0"/>
            <w:vAlign w:val="top"/>
          </w:tcPr>
          <w:p w14:paraId="55C963FF">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w:t>
            </w:r>
          </w:p>
        </w:tc>
        <w:tc>
          <w:tcPr>
            <w:tcW w:w="2057" w:type="dxa"/>
            <w:noWrap w:val="0"/>
            <w:vAlign w:val="top"/>
          </w:tcPr>
          <w:p w14:paraId="6CC1DCE1">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1ED6D2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0FA68605">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44</w:t>
            </w:r>
          </w:p>
        </w:tc>
        <w:tc>
          <w:tcPr>
            <w:tcW w:w="2414" w:type="dxa"/>
            <w:noWrap w:val="0"/>
            <w:vAlign w:val="top"/>
          </w:tcPr>
          <w:p w14:paraId="609474E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不锈钢垃圾桶</w:t>
            </w:r>
          </w:p>
        </w:tc>
        <w:tc>
          <w:tcPr>
            <w:tcW w:w="1781" w:type="dxa"/>
            <w:noWrap w:val="0"/>
            <w:vAlign w:val="top"/>
          </w:tcPr>
          <w:p w14:paraId="2B3CBE49">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个</w:t>
            </w:r>
          </w:p>
        </w:tc>
        <w:tc>
          <w:tcPr>
            <w:tcW w:w="1277" w:type="dxa"/>
            <w:noWrap w:val="0"/>
            <w:vAlign w:val="top"/>
          </w:tcPr>
          <w:p w14:paraId="1C8CA76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10</w:t>
            </w:r>
          </w:p>
        </w:tc>
        <w:tc>
          <w:tcPr>
            <w:tcW w:w="2057" w:type="dxa"/>
            <w:noWrap w:val="0"/>
            <w:vAlign w:val="top"/>
          </w:tcPr>
          <w:p w14:paraId="6E3B6656">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p>
        </w:tc>
      </w:tr>
      <w:tr w14:paraId="5C138F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588850D4">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45</w:t>
            </w:r>
          </w:p>
        </w:tc>
        <w:tc>
          <w:tcPr>
            <w:tcW w:w="2414" w:type="dxa"/>
            <w:noWrap w:val="0"/>
            <w:vAlign w:val="top"/>
          </w:tcPr>
          <w:p w14:paraId="3ADD3461">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塑料垃圾桶</w:t>
            </w:r>
          </w:p>
        </w:tc>
        <w:tc>
          <w:tcPr>
            <w:tcW w:w="1781" w:type="dxa"/>
            <w:noWrap w:val="0"/>
            <w:vAlign w:val="top"/>
          </w:tcPr>
          <w:p w14:paraId="02FE39D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个</w:t>
            </w:r>
          </w:p>
        </w:tc>
        <w:tc>
          <w:tcPr>
            <w:tcW w:w="1277" w:type="dxa"/>
            <w:noWrap w:val="0"/>
            <w:vAlign w:val="top"/>
          </w:tcPr>
          <w:p w14:paraId="3D01CD03">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20</w:t>
            </w:r>
          </w:p>
        </w:tc>
        <w:tc>
          <w:tcPr>
            <w:tcW w:w="2057" w:type="dxa"/>
            <w:noWrap w:val="0"/>
            <w:vAlign w:val="top"/>
          </w:tcPr>
          <w:p w14:paraId="61C41BD5">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eastAsia" w:ascii="仿宋" w:hAnsi="仿宋" w:eastAsia="仿宋" w:cs="仿宋"/>
                <w:color w:val="auto"/>
                <w:sz w:val="21"/>
                <w:szCs w:val="21"/>
                <w:highlight w:val="none"/>
                <w:lang w:eastAsia="en-US"/>
              </w:rPr>
            </w:pPr>
          </w:p>
        </w:tc>
      </w:tr>
      <w:tr w14:paraId="2FC937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3C01991A">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46</w:t>
            </w:r>
          </w:p>
        </w:tc>
        <w:tc>
          <w:tcPr>
            <w:tcW w:w="2414" w:type="dxa"/>
            <w:noWrap w:val="0"/>
            <w:vAlign w:val="top"/>
          </w:tcPr>
          <w:p w14:paraId="3629AA2A">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蒸笼</w:t>
            </w:r>
          </w:p>
        </w:tc>
        <w:tc>
          <w:tcPr>
            <w:tcW w:w="1781" w:type="dxa"/>
            <w:noWrap w:val="0"/>
            <w:vAlign w:val="top"/>
          </w:tcPr>
          <w:p w14:paraId="5348AFB2">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个</w:t>
            </w:r>
          </w:p>
        </w:tc>
        <w:tc>
          <w:tcPr>
            <w:tcW w:w="1277" w:type="dxa"/>
            <w:noWrap w:val="0"/>
            <w:vAlign w:val="top"/>
          </w:tcPr>
          <w:p w14:paraId="181853EE">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20</w:t>
            </w:r>
          </w:p>
        </w:tc>
        <w:tc>
          <w:tcPr>
            <w:tcW w:w="2057" w:type="dxa"/>
            <w:noWrap w:val="0"/>
            <w:vAlign w:val="top"/>
          </w:tcPr>
          <w:p w14:paraId="3CB74A27">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eastAsia" w:ascii="仿宋" w:hAnsi="仿宋" w:eastAsia="仿宋" w:cs="仿宋"/>
                <w:color w:val="auto"/>
                <w:sz w:val="21"/>
                <w:szCs w:val="21"/>
                <w:highlight w:val="none"/>
                <w:lang w:eastAsia="en-US"/>
              </w:rPr>
            </w:pPr>
          </w:p>
        </w:tc>
      </w:tr>
      <w:tr w14:paraId="5FAC33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66A0AC8F">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47</w:t>
            </w:r>
          </w:p>
        </w:tc>
        <w:tc>
          <w:tcPr>
            <w:tcW w:w="2414" w:type="dxa"/>
            <w:noWrap w:val="0"/>
            <w:vAlign w:val="top"/>
          </w:tcPr>
          <w:p w14:paraId="3ABBC705">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不锈钢盛菜盒</w:t>
            </w:r>
          </w:p>
        </w:tc>
        <w:tc>
          <w:tcPr>
            <w:tcW w:w="1781" w:type="dxa"/>
            <w:noWrap w:val="0"/>
            <w:vAlign w:val="top"/>
          </w:tcPr>
          <w:p w14:paraId="7838781D">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个</w:t>
            </w:r>
          </w:p>
        </w:tc>
        <w:tc>
          <w:tcPr>
            <w:tcW w:w="1277" w:type="dxa"/>
            <w:noWrap w:val="0"/>
            <w:vAlign w:val="top"/>
          </w:tcPr>
          <w:p w14:paraId="2E73A486">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50</w:t>
            </w:r>
          </w:p>
        </w:tc>
        <w:tc>
          <w:tcPr>
            <w:tcW w:w="2057" w:type="dxa"/>
            <w:noWrap w:val="0"/>
            <w:vAlign w:val="top"/>
          </w:tcPr>
          <w:p w14:paraId="7114CBD0">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eastAsia" w:ascii="仿宋" w:hAnsi="仿宋" w:eastAsia="仿宋" w:cs="仿宋"/>
                <w:color w:val="auto"/>
                <w:sz w:val="21"/>
                <w:szCs w:val="21"/>
                <w:highlight w:val="none"/>
                <w:lang w:eastAsia="en-US"/>
              </w:rPr>
            </w:pPr>
          </w:p>
        </w:tc>
      </w:tr>
      <w:tr w14:paraId="7DE906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69" w:type="dxa"/>
            <w:noWrap w:val="0"/>
            <w:vAlign w:val="top"/>
          </w:tcPr>
          <w:p w14:paraId="09AC4467">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48</w:t>
            </w:r>
          </w:p>
        </w:tc>
        <w:tc>
          <w:tcPr>
            <w:tcW w:w="2414" w:type="dxa"/>
            <w:noWrap w:val="0"/>
            <w:vAlign w:val="top"/>
          </w:tcPr>
          <w:p w14:paraId="608A7918">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炒菜勺</w:t>
            </w:r>
          </w:p>
        </w:tc>
        <w:tc>
          <w:tcPr>
            <w:tcW w:w="1781" w:type="dxa"/>
            <w:noWrap w:val="0"/>
            <w:vAlign w:val="top"/>
          </w:tcPr>
          <w:p w14:paraId="6B44421E">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把</w:t>
            </w:r>
          </w:p>
        </w:tc>
        <w:tc>
          <w:tcPr>
            <w:tcW w:w="1277" w:type="dxa"/>
            <w:noWrap w:val="0"/>
            <w:vAlign w:val="top"/>
          </w:tcPr>
          <w:p w14:paraId="59BD911A">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仿宋" w:hAnsi="仿宋" w:eastAsia="仿宋" w:cs="仿宋"/>
                <w:color w:val="auto"/>
                <w:sz w:val="21"/>
                <w:szCs w:val="21"/>
                <w:highlight w:val="none"/>
                <w:lang w:eastAsia="en-US"/>
              </w:rPr>
            </w:pPr>
            <w:r>
              <w:rPr>
                <w:rFonts w:hint="eastAsia" w:ascii="仿宋" w:hAnsi="仿宋" w:eastAsia="仿宋" w:cs="仿宋"/>
                <w:color w:val="auto"/>
                <w:sz w:val="21"/>
                <w:szCs w:val="21"/>
                <w:highlight w:val="none"/>
                <w:lang w:eastAsia="en-US"/>
              </w:rPr>
              <w:t>10</w:t>
            </w:r>
          </w:p>
        </w:tc>
        <w:tc>
          <w:tcPr>
            <w:tcW w:w="2057" w:type="dxa"/>
            <w:noWrap w:val="0"/>
            <w:vAlign w:val="top"/>
          </w:tcPr>
          <w:p w14:paraId="0A1FA89E">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eastAsia" w:ascii="仿宋" w:hAnsi="仿宋" w:eastAsia="仿宋" w:cs="仿宋"/>
                <w:color w:val="auto"/>
                <w:sz w:val="21"/>
                <w:szCs w:val="21"/>
                <w:highlight w:val="none"/>
                <w:lang w:eastAsia="en-US"/>
              </w:rPr>
            </w:pPr>
          </w:p>
        </w:tc>
      </w:tr>
    </w:tbl>
    <w:p w14:paraId="71539878">
      <w:pPr>
        <w:rPr>
          <w:highlight w:val="none"/>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仿宋_GB2312">
    <w:panose1 w:val="02000000000000000000"/>
    <w:charset w:val="86"/>
    <w:family w:val="auto"/>
    <w:pitch w:val="default"/>
    <w:sig w:usb0="A00002BF" w:usb1="184F6CFA" w:usb2="00000012" w:usb3="00000000" w:csb0="00040001"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8E01E">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844947"/>
    <w:multiLevelType w:val="singleLevel"/>
    <w:tmpl w:val="3284494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yN2E3ODkyYjI1ZmIyMTVkYTg4N2M1OGU4YjhlY2MifQ=="/>
  </w:docVars>
  <w:rsids>
    <w:rsidRoot w:val="00000000"/>
    <w:rsid w:val="0B8925CB"/>
    <w:rsid w:val="12BD12DB"/>
    <w:rsid w:val="166A419A"/>
    <w:rsid w:val="1A6B208D"/>
    <w:rsid w:val="1B0E253E"/>
    <w:rsid w:val="535F3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after="120" w:line="240" w:lineRule="auto"/>
      <w:jc w:val="left"/>
    </w:pPr>
    <w:rPr>
      <w:rFonts w:ascii="微软雅黑" w:hAnsi="微软雅黑" w:eastAsia="方正仿宋_GB2312" w:cs="Times New Roman"/>
      <w:kern w:val="0"/>
      <w:sz w:val="32"/>
      <w:szCs w:val="22"/>
      <w:lang w:val="en-US" w:eastAsia="en-US" w:bidi="ar-SA"/>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qFormat/>
    <w:uiPriority w:val="99"/>
    <w:pPr>
      <w:widowControl/>
      <w:spacing w:line="360" w:lineRule="auto"/>
      <w:ind w:firstLine="709"/>
      <w:jc w:val="left"/>
    </w:pPr>
    <w:rPr>
      <w:rFonts w:ascii="Tahoma" w:hAnsi="Tahoma"/>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w:basedOn w:val="2"/>
    <w:next w:val="9"/>
    <w:semiHidden/>
    <w:unhideWhenUsed/>
    <w:qFormat/>
    <w:uiPriority w:val="99"/>
    <w:pPr>
      <w:ind w:firstLine="420" w:firstLineChars="100"/>
    </w:pPr>
  </w:style>
  <w:style w:type="paragraph" w:styleId="9">
    <w:name w:val="Body Text First Indent 2"/>
    <w:basedOn w:val="5"/>
    <w:qFormat/>
    <w:uiPriority w:val="0"/>
    <w:pPr>
      <w:widowControl w:val="0"/>
      <w:spacing w:after="120" w:line="240" w:lineRule="auto"/>
      <w:ind w:left="420" w:leftChars="200" w:firstLine="420" w:firstLineChars="200"/>
      <w:jc w:val="both"/>
    </w:pPr>
    <w:rPr>
      <w:rFonts w:ascii="Times New Roman" w:hAnsi="Times New Roman" w:eastAsia="宋体"/>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99"/>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 w:type="paragraph" w:customStyle="1" w:styleId="15">
    <w:name w:val="Table Text"/>
    <w:basedOn w:val="1"/>
    <w:autoRedefine/>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Cs w:val="21"/>
    </w:rPr>
  </w:style>
  <w:style w:type="paragraph" w:customStyle="1" w:styleId="1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styleId="17">
    <w:name w:val="List Paragraph"/>
    <w:basedOn w:val="1"/>
    <w:qFormat/>
    <w:uiPriority w:val="34"/>
    <w:pPr>
      <w:widowControl/>
      <w:ind w:firstLine="420" w:firstLineChars="200"/>
      <w:jc w:val="left"/>
    </w:pPr>
    <w:rPr>
      <w:kern w:val="0"/>
      <w:sz w:val="24"/>
    </w:rPr>
  </w:style>
  <w:style w:type="table" w:customStyle="1" w:styleId="18">
    <w:name w:val="Table Normal"/>
    <w:unhideWhenUsed/>
    <w:qFormat/>
    <w:uiPriority w:val="0"/>
    <w:tblPr>
      <w:tblCellMar>
        <w:top w:w="0" w:type="dxa"/>
        <w:left w:w="0" w:type="dxa"/>
        <w:bottom w:w="0" w:type="dxa"/>
        <w:right w:w="0" w:type="dxa"/>
      </w:tblCellMar>
    </w:tblPr>
  </w:style>
  <w:style w:type="paragraph" w:customStyle="1" w:styleId="19">
    <w:name w:val="Table Paragraph"/>
    <w:basedOn w:val="1"/>
    <w:qFormat/>
    <w:uiPriority w:val="1"/>
    <w:pPr>
      <w:widowControl w:val="0"/>
      <w:autoSpaceDE w:val="0"/>
      <w:autoSpaceDN w:val="0"/>
    </w:pPr>
    <w:rPr>
      <w:sz w:val="22"/>
      <w:szCs w:val="2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1762</Words>
  <Characters>1783</Characters>
  <Lines>0</Lines>
  <Paragraphs>0</Paragraphs>
  <TotalTime>0</TotalTime>
  <ScaleCrop>false</ScaleCrop>
  <LinksUpToDate>false</LinksUpToDate>
  <CharactersWithSpaces>2308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2024-11-06T03:20:00Z</dcterms:created>
  <dc:creator>Administrator</dc:creator>
  <cp:lastModifiedBy>赵锦天</cp:lastModifiedBy>
  <dcterms:modified xsi:type="dcterms:W3CDTF">2025-05-14T02:13:18Z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CB2A97B67A0641D1BFD6ECBD7EEC8BEF_12</vt:lpwstr>
  </property>
  <property fmtid="{D5CDD505-2E9C-101B-9397-08002B2CF9AE}" pid="4" name="KSOTemplateDocerSaveRecord">
    <vt:lpwstr>eyJoZGlkIjoiNDIyN2E3ODkyYjI1ZmIyMTVkYTg4N2M1OGU4YjhlY2MiLCJ1c2VySWQiOiIxMTcyNDcyOSJ9</vt:lpwstr>
  </property>
</Properties>
</file>