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D33B7">
      <w:pPr>
        <w:jc w:val="center"/>
        <w:rPr>
          <w:rFonts w:hint="eastAsia" w:ascii="黑体" w:hAnsi="黑体" w:eastAsia="黑体" w:cs="黑体"/>
          <w:b w:val="0"/>
          <w:bCs w:val="0"/>
          <w:color w:val="1F4E79"/>
          <w:kern w:val="2"/>
          <w:sz w:val="28"/>
          <w:szCs w:val="32"/>
          <w:lang w:val="zh-CN" w:eastAsia="zh-CN" w:bidi="ar-SA"/>
        </w:rPr>
      </w:pPr>
      <w:r>
        <w:rPr>
          <w:rFonts w:hint="eastAsia" w:ascii="黑体" w:hAnsi="黑体" w:eastAsia="黑体" w:cs="Calibri Light"/>
          <w:b w:val="0"/>
          <w:bCs w:val="0"/>
          <w:color w:val="1F4E79"/>
          <w:kern w:val="2"/>
          <w:sz w:val="28"/>
          <w:szCs w:val="32"/>
          <w:highlight w:val="none"/>
          <w:lang w:val="en-US" w:eastAsia="zh-CN" w:bidi="ar-SA"/>
        </w:rPr>
        <w:t>其他</w:t>
      </w:r>
      <w:r>
        <w:rPr>
          <w:rFonts w:hint="eastAsia" w:ascii="黑体" w:hAnsi="黑体" w:eastAsia="黑体" w:cs="黑体"/>
          <w:b w:val="0"/>
          <w:bCs w:val="0"/>
          <w:color w:val="1F4E79"/>
          <w:kern w:val="2"/>
          <w:sz w:val="28"/>
          <w:szCs w:val="32"/>
          <w:lang w:val="zh-CN" w:eastAsia="zh-CN" w:bidi="ar-SA"/>
        </w:rPr>
        <w:t>资格证明文件</w:t>
      </w:r>
    </w:p>
    <w:p w14:paraId="5A1F36AF">
      <w:pPr>
        <w:jc w:val="both"/>
        <w:rPr>
          <w:rFonts w:hint="default"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一、供应商应具备《中华人民共和国政府采购法》第二十二条规定的条件</w:t>
      </w:r>
    </w:p>
    <w:p w14:paraId="0DFAE9A7">
      <w:pPr>
        <w:numPr>
          <w:ilvl w:val="0"/>
          <w:numId w:val="1"/>
        </w:numPr>
        <w:adjustRightInd w:val="0"/>
        <w:spacing w:line="360" w:lineRule="atLeast"/>
        <w:jc w:val="left"/>
        <w:textAlignment w:val="baseline"/>
        <w:rPr>
          <w:rFonts w:hint="eastAsia" w:ascii="仿宋" w:hAnsi="仿宋" w:eastAsia="仿宋" w:cs="仿宋"/>
          <w:b w:val="0"/>
          <w:bCs/>
          <w:sz w:val="22"/>
          <w:szCs w:val="22"/>
          <w:highlight w:val="none"/>
        </w:rPr>
      </w:pPr>
      <w:r>
        <w:rPr>
          <w:rFonts w:hint="eastAsia" w:ascii="仿宋" w:hAnsi="仿宋" w:eastAsia="仿宋" w:cs="仿宋"/>
          <w:b w:val="0"/>
          <w:bCs/>
          <w:sz w:val="22"/>
          <w:szCs w:val="22"/>
          <w:highlight w:val="none"/>
        </w:rPr>
        <w:t>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4B6CBAEB">
      <w:pPr>
        <w:numPr>
          <w:ilvl w:val="0"/>
          <w:numId w:val="0"/>
        </w:numPr>
        <w:adjustRightInd w:val="0"/>
        <w:spacing w:line="360" w:lineRule="atLeast"/>
        <w:jc w:val="left"/>
        <w:textAlignment w:val="baseline"/>
        <w:rPr>
          <w:rFonts w:ascii="仿宋" w:hAnsi="仿宋" w:eastAsia="仿宋" w:cs="仿宋"/>
          <w:b w:val="0"/>
          <w:bCs/>
          <w:sz w:val="22"/>
          <w:szCs w:val="22"/>
          <w:highlight w:val="none"/>
        </w:rPr>
      </w:pPr>
    </w:p>
    <w:p w14:paraId="710F3B00">
      <w:pPr>
        <w:numPr>
          <w:ilvl w:val="0"/>
          <w:numId w:val="1"/>
        </w:numPr>
        <w:adjustRightInd w:val="0"/>
        <w:spacing w:line="360" w:lineRule="atLeast"/>
        <w:jc w:val="left"/>
        <w:textAlignment w:val="baseline"/>
        <w:rPr>
          <w:rFonts w:ascii="仿宋" w:hAnsi="仿宋" w:eastAsia="仿宋" w:cs="仿宋"/>
          <w:b w:val="0"/>
          <w:bCs/>
          <w:sz w:val="22"/>
          <w:szCs w:val="22"/>
          <w:highlight w:val="none"/>
        </w:rPr>
      </w:pPr>
      <w:r>
        <w:rPr>
          <w:rFonts w:hint="eastAsia" w:ascii="仿宋" w:hAnsi="仿宋" w:eastAsia="仿宋" w:cs="仿宋"/>
          <w:b w:val="0"/>
          <w:bCs/>
          <w:sz w:val="22"/>
          <w:szCs w:val="22"/>
          <w:highlight w:val="none"/>
        </w:rPr>
        <w:t xml:space="preserve">提供可满足履行合同所需设备和专业技术能力的证明材料或承诺 </w:t>
      </w:r>
    </w:p>
    <w:p w14:paraId="16AB072F">
      <w:pPr>
        <w:numPr>
          <w:ilvl w:val="0"/>
          <w:numId w:val="0"/>
        </w:numPr>
        <w:adjustRightInd w:val="0"/>
        <w:spacing w:line="360" w:lineRule="atLeast"/>
        <w:jc w:val="left"/>
        <w:textAlignment w:val="baseline"/>
        <w:rPr>
          <w:rFonts w:ascii="仿宋" w:hAnsi="仿宋" w:eastAsia="仿宋" w:cs="仿宋"/>
          <w:b w:val="0"/>
          <w:bCs/>
          <w:sz w:val="22"/>
          <w:szCs w:val="22"/>
          <w:highlight w:val="none"/>
        </w:rPr>
      </w:pPr>
    </w:p>
    <w:p w14:paraId="1DF35E37">
      <w:pPr>
        <w:numPr>
          <w:ilvl w:val="0"/>
          <w:numId w:val="1"/>
        </w:numPr>
        <w:adjustRightInd w:val="0"/>
        <w:spacing w:line="360" w:lineRule="atLeast"/>
        <w:jc w:val="left"/>
        <w:textAlignment w:val="baseline"/>
        <w:rPr>
          <w:rFonts w:ascii="仿宋" w:hAnsi="仿宋" w:eastAsia="仿宋" w:cs="仿宋"/>
          <w:b w:val="0"/>
          <w:bCs/>
          <w:sz w:val="22"/>
          <w:szCs w:val="22"/>
          <w:highlight w:val="none"/>
        </w:rPr>
      </w:pPr>
      <w:r>
        <w:rPr>
          <w:rFonts w:hint="eastAsia" w:ascii="仿宋" w:hAnsi="仿宋" w:eastAsia="仿宋" w:cs="仿宋"/>
          <w:b w:val="0"/>
          <w:bCs/>
          <w:sz w:val="22"/>
          <w:szCs w:val="22"/>
          <w:highlight w:val="none"/>
        </w:rPr>
        <w:t xml:space="preserve">提供投标截止时间前近六个月中至少一个月的纳税证明或完税证明，依法免税的单位应提供相关证明材料；时间以税款所属时期为准 </w:t>
      </w:r>
      <w:bookmarkStart w:id="0" w:name="_GoBack"/>
      <w:bookmarkEnd w:id="0"/>
    </w:p>
    <w:p w14:paraId="0038B7AD">
      <w:pPr>
        <w:numPr>
          <w:ilvl w:val="0"/>
          <w:numId w:val="0"/>
        </w:numPr>
        <w:adjustRightInd w:val="0"/>
        <w:spacing w:line="360" w:lineRule="atLeast"/>
        <w:jc w:val="left"/>
        <w:textAlignment w:val="baseline"/>
        <w:rPr>
          <w:rFonts w:ascii="仿宋" w:hAnsi="仿宋" w:eastAsia="仿宋" w:cs="仿宋"/>
          <w:b w:val="0"/>
          <w:bCs/>
          <w:sz w:val="22"/>
          <w:szCs w:val="22"/>
          <w:highlight w:val="none"/>
        </w:rPr>
      </w:pPr>
    </w:p>
    <w:p w14:paraId="144C6844">
      <w:pPr>
        <w:numPr>
          <w:ilvl w:val="0"/>
          <w:numId w:val="1"/>
        </w:numPr>
        <w:adjustRightInd w:val="0"/>
        <w:spacing w:line="360" w:lineRule="atLeast"/>
        <w:jc w:val="left"/>
        <w:textAlignment w:val="baseline"/>
        <w:rPr>
          <w:rFonts w:ascii="仿宋" w:hAnsi="仿宋" w:eastAsia="仿宋" w:cs="仿宋"/>
          <w:b w:val="0"/>
          <w:bCs/>
          <w:sz w:val="22"/>
          <w:szCs w:val="22"/>
          <w:highlight w:val="none"/>
        </w:rPr>
      </w:pPr>
      <w:r>
        <w:rPr>
          <w:rFonts w:hint="eastAsia" w:ascii="仿宋" w:hAnsi="仿宋" w:eastAsia="仿宋" w:cs="仿宋"/>
          <w:b w:val="0"/>
          <w:bCs/>
          <w:sz w:val="22"/>
          <w:szCs w:val="22"/>
          <w:highlight w:val="none"/>
        </w:rPr>
        <w:t xml:space="preserve">提供投标截止时间前近六个月中至少一个月的社会保障资金缴存单据或社保机构开具的社会保险参保缴费情况证明，依法不需要缴纳社会保障资金的单位应提供相关证明材料。 </w:t>
      </w:r>
    </w:p>
    <w:p w14:paraId="2569EC62">
      <w:pPr>
        <w:numPr>
          <w:ilvl w:val="0"/>
          <w:numId w:val="0"/>
        </w:numPr>
        <w:adjustRightInd w:val="0"/>
        <w:spacing w:line="360" w:lineRule="atLeast"/>
        <w:jc w:val="left"/>
        <w:textAlignment w:val="baseline"/>
        <w:rPr>
          <w:rFonts w:ascii="仿宋" w:hAnsi="仿宋" w:eastAsia="仿宋" w:cs="仿宋"/>
          <w:b w:val="0"/>
          <w:bCs/>
          <w:sz w:val="22"/>
          <w:szCs w:val="22"/>
          <w:highlight w:val="none"/>
        </w:rPr>
      </w:pPr>
    </w:p>
    <w:p w14:paraId="0C8A6BB2">
      <w:pPr>
        <w:numPr>
          <w:ilvl w:val="0"/>
          <w:numId w:val="0"/>
        </w:numPr>
        <w:adjustRightInd w:val="0"/>
        <w:spacing w:line="360" w:lineRule="atLeast"/>
        <w:jc w:val="left"/>
        <w:textAlignment w:val="baseline"/>
        <w:rPr>
          <w:rFonts w:ascii="仿宋" w:hAnsi="仿宋" w:eastAsia="仿宋" w:cs="仿宋"/>
          <w:b w:val="0"/>
          <w:bCs/>
          <w:sz w:val="22"/>
          <w:szCs w:val="22"/>
          <w:highlight w:val="none"/>
        </w:rPr>
      </w:pPr>
    </w:p>
    <w:p w14:paraId="7BB54E65">
      <w:pPr>
        <w:numPr>
          <w:ilvl w:val="0"/>
          <w:numId w:val="1"/>
        </w:numPr>
        <w:adjustRightInd w:val="0"/>
        <w:spacing w:line="360" w:lineRule="atLeast"/>
        <w:jc w:val="left"/>
        <w:textAlignment w:val="baseline"/>
        <w:rPr>
          <w:rFonts w:ascii="仿宋" w:hAnsi="仿宋" w:eastAsia="仿宋" w:cs="仿宋"/>
          <w:b w:val="0"/>
          <w:bCs/>
          <w:sz w:val="22"/>
          <w:szCs w:val="22"/>
          <w:highlight w:val="none"/>
        </w:rPr>
      </w:pPr>
      <w:r>
        <w:rPr>
          <w:rFonts w:hint="eastAsia" w:ascii="仿宋" w:hAnsi="仿宋" w:eastAsia="仿宋" w:cs="仿宋"/>
          <w:b w:val="0"/>
          <w:bCs/>
          <w:sz w:val="22"/>
          <w:szCs w:val="22"/>
          <w:highlight w:val="none"/>
        </w:rPr>
        <w:t>提供有效的参加政府采购活动前3年内在经营活动中没有重大违法记录的书面声明。</w:t>
      </w:r>
    </w:p>
    <w:p w14:paraId="59B426C6">
      <w:pPr>
        <w:rPr>
          <w:rFonts w:ascii="仿宋" w:hAnsi="仿宋" w:eastAsia="仿宋" w:cs="仿宋"/>
          <w:szCs w:val="21"/>
        </w:rPr>
      </w:pPr>
      <w:r>
        <w:rPr>
          <w:rFonts w:ascii="仿宋" w:hAnsi="仿宋" w:eastAsia="仿宋" w:cs="仿宋"/>
          <w:szCs w:val="21"/>
        </w:rPr>
        <w:br w:type="page"/>
      </w:r>
    </w:p>
    <w:p w14:paraId="4BB1231E">
      <w:pPr>
        <w:numPr>
          <w:ilvl w:val="0"/>
          <w:numId w:val="2"/>
        </w:numPr>
        <w:jc w:val="both"/>
        <w:rPr>
          <w:rFonts w:hint="eastAsia"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供应商应提供健全的财务会计制度的证明材料；</w:t>
      </w:r>
    </w:p>
    <w:p w14:paraId="487A04C6">
      <w:pPr>
        <w:numPr>
          <w:ilvl w:val="0"/>
          <w:numId w:val="0"/>
        </w:numPr>
        <w:jc w:val="both"/>
        <w:rPr>
          <w:rFonts w:ascii="仿宋_GB2312" w:hAnsi="仿宋_GB2312" w:eastAsia="仿宋_GB2312" w:cs="仿宋_GB2312"/>
          <w:color w:val="auto"/>
          <w:sz w:val="22"/>
          <w:szCs w:val="24"/>
        </w:rPr>
      </w:pPr>
      <w:r>
        <w:rPr>
          <w:rFonts w:ascii="仿宋_GB2312" w:hAnsi="仿宋_GB2312" w:eastAsia="仿宋_GB2312" w:cs="仿宋_GB2312"/>
          <w:color w:val="auto"/>
          <w:sz w:val="22"/>
          <w:szCs w:val="24"/>
        </w:rPr>
        <w:t>提供（1）或提供（2）：（1）提供递交</w:t>
      </w:r>
      <w:r>
        <w:rPr>
          <w:rFonts w:hint="eastAsia" w:ascii="仿宋_GB2312" w:hAnsi="仿宋_GB2312" w:eastAsia="仿宋_GB2312" w:cs="仿宋_GB2312"/>
          <w:color w:val="auto"/>
          <w:sz w:val="22"/>
          <w:szCs w:val="24"/>
          <w:lang w:eastAsia="zh-CN"/>
        </w:rPr>
        <w:t>响应文件</w:t>
      </w:r>
      <w:r>
        <w:rPr>
          <w:rFonts w:ascii="仿宋_GB2312" w:hAnsi="仿宋_GB2312" w:eastAsia="仿宋_GB2312" w:cs="仿宋_GB2312"/>
          <w:color w:val="auto"/>
          <w:sz w:val="22"/>
          <w:szCs w:val="24"/>
        </w:rPr>
        <w:t>截止之日前两年内任意一个年度经审计的财务报告，应满足以下要求：①</w:t>
      </w:r>
      <w:r>
        <w:rPr>
          <w:rFonts w:hint="eastAsia" w:ascii="仿宋_GB2312" w:hAnsi="仿宋_GB2312" w:eastAsia="仿宋_GB2312" w:cs="仿宋_GB2312"/>
          <w:color w:val="auto"/>
          <w:sz w:val="22"/>
          <w:szCs w:val="24"/>
          <w:lang w:eastAsia="zh-CN"/>
        </w:rPr>
        <w:t>供应商</w:t>
      </w:r>
      <w:r>
        <w:rPr>
          <w:rFonts w:ascii="仿宋_GB2312" w:hAnsi="仿宋_GB2312" w:eastAsia="仿宋_GB2312" w:cs="仿宋_GB2312"/>
          <w:color w:val="auto"/>
          <w:sz w:val="22"/>
          <w:szCs w:val="24"/>
        </w:rPr>
        <w:t>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w:t>
      </w:r>
      <w:r>
        <w:rPr>
          <w:rFonts w:hint="eastAsia" w:ascii="仿宋_GB2312" w:hAnsi="仿宋_GB2312" w:eastAsia="仿宋_GB2312" w:cs="仿宋_GB2312"/>
          <w:color w:val="auto"/>
          <w:sz w:val="22"/>
          <w:szCs w:val="24"/>
          <w:lang w:eastAsia="zh-CN"/>
        </w:rPr>
        <w:t>供应商</w:t>
      </w:r>
      <w:r>
        <w:rPr>
          <w:rFonts w:ascii="仿宋_GB2312" w:hAnsi="仿宋_GB2312" w:eastAsia="仿宋_GB2312" w:cs="仿宋_GB2312"/>
          <w:color w:val="auto"/>
          <w:sz w:val="22"/>
          <w:szCs w:val="24"/>
        </w:rPr>
        <w:t>适用《事业单位会计准则》的，财务报告是指上述指定年度整个会计年度财务报表（不要求必须是经审计的），复印件至少须包括资产负债表、收入支出表（或收入费用表）、财政补助收入支出表。③</w:t>
      </w:r>
      <w:r>
        <w:rPr>
          <w:rFonts w:hint="eastAsia" w:ascii="仿宋_GB2312" w:hAnsi="仿宋_GB2312" w:eastAsia="仿宋_GB2312" w:cs="仿宋_GB2312"/>
          <w:color w:val="auto"/>
          <w:sz w:val="22"/>
          <w:szCs w:val="24"/>
          <w:lang w:eastAsia="zh-CN"/>
        </w:rPr>
        <w:t>供应商</w:t>
      </w:r>
      <w:r>
        <w:rPr>
          <w:rFonts w:ascii="仿宋_GB2312" w:hAnsi="仿宋_GB2312" w:eastAsia="仿宋_GB2312" w:cs="仿宋_GB2312"/>
          <w:color w:val="auto"/>
          <w:sz w:val="22"/>
          <w:szCs w:val="24"/>
        </w:rPr>
        <w:t>适用《政府会计准则》的，财务报告是指上述指定年度整个会计年度财务报表（不要求必须是经审计的），复印件至少须包括资产负债表、收入费用表。④</w:t>
      </w:r>
      <w:r>
        <w:rPr>
          <w:rFonts w:hint="eastAsia" w:ascii="仿宋_GB2312" w:hAnsi="仿宋_GB2312" w:eastAsia="仿宋_GB2312" w:cs="仿宋_GB2312"/>
          <w:color w:val="auto"/>
          <w:sz w:val="22"/>
          <w:szCs w:val="24"/>
          <w:lang w:eastAsia="zh-CN"/>
        </w:rPr>
        <w:t>供应商</w:t>
      </w:r>
      <w:r>
        <w:rPr>
          <w:rFonts w:ascii="仿宋_GB2312" w:hAnsi="仿宋_GB2312" w:eastAsia="仿宋_GB2312" w:cs="仿宋_GB2312"/>
          <w:color w:val="auto"/>
          <w:sz w:val="22"/>
          <w:szCs w:val="24"/>
        </w:rPr>
        <w:t>适用《民间非营利组织会计制度》的，财务报告是指上述指定年度整个会计年度财务报表（不要求必须是经审计的），复印件至少须包括资产负债表、业务活动表、现金流量表。 ⑤</w:t>
      </w:r>
      <w:r>
        <w:rPr>
          <w:rFonts w:hint="eastAsia" w:ascii="仿宋_GB2312" w:hAnsi="仿宋_GB2312" w:eastAsia="仿宋_GB2312" w:cs="仿宋_GB2312"/>
          <w:color w:val="auto"/>
          <w:sz w:val="22"/>
          <w:szCs w:val="24"/>
          <w:lang w:eastAsia="zh-CN"/>
        </w:rPr>
        <w:t>供应商</w:t>
      </w:r>
      <w:r>
        <w:rPr>
          <w:rFonts w:ascii="仿宋_GB2312" w:hAnsi="仿宋_GB2312" w:eastAsia="仿宋_GB2312" w:cs="仿宋_GB2312"/>
          <w:color w:val="auto"/>
          <w:sz w:val="22"/>
          <w:szCs w:val="24"/>
        </w:rPr>
        <w:t>是上述四种情况以外情况的，按照其依法适用的会计制度、财务规则或会计准则提供财务报表复印件（不要求必须是经审计的）。 （2）提供资信证明原件扫描件或复印件，应满足以下要求：①资信证明须为递交</w:t>
      </w:r>
      <w:r>
        <w:rPr>
          <w:rFonts w:hint="eastAsia" w:ascii="仿宋_GB2312" w:hAnsi="仿宋_GB2312" w:eastAsia="仿宋_GB2312" w:cs="仿宋_GB2312"/>
          <w:color w:val="auto"/>
          <w:sz w:val="22"/>
          <w:szCs w:val="24"/>
          <w:lang w:eastAsia="zh-CN"/>
        </w:rPr>
        <w:t>响应文件</w:t>
      </w:r>
      <w:r>
        <w:rPr>
          <w:rFonts w:ascii="仿宋_GB2312" w:hAnsi="仿宋_GB2312" w:eastAsia="仿宋_GB2312" w:cs="仿宋_GB2312"/>
          <w:color w:val="auto"/>
          <w:sz w:val="22"/>
          <w:szCs w:val="24"/>
        </w:rPr>
        <w:t>截止时间前三个月内由</w:t>
      </w:r>
      <w:r>
        <w:rPr>
          <w:rFonts w:hint="eastAsia" w:ascii="仿宋_GB2312" w:hAnsi="仿宋_GB2312" w:eastAsia="仿宋_GB2312" w:cs="仿宋_GB2312"/>
          <w:color w:val="auto"/>
          <w:sz w:val="22"/>
          <w:szCs w:val="24"/>
          <w:lang w:eastAsia="zh-CN"/>
        </w:rPr>
        <w:t>供应商</w:t>
      </w:r>
      <w:r>
        <w:rPr>
          <w:rFonts w:ascii="仿宋_GB2312" w:hAnsi="仿宋_GB2312" w:eastAsia="仿宋_GB2312" w:cs="仿宋_GB2312"/>
          <w:color w:val="auto"/>
          <w:sz w:val="22"/>
          <w:szCs w:val="24"/>
        </w:rPr>
        <w:t>开户银行出具。②无论开具银行是否标明“复印无效”，</w:t>
      </w:r>
      <w:r>
        <w:rPr>
          <w:rFonts w:hint="eastAsia" w:ascii="仿宋_GB2312" w:hAnsi="仿宋_GB2312" w:eastAsia="仿宋_GB2312" w:cs="仿宋_GB2312"/>
          <w:color w:val="auto"/>
          <w:sz w:val="22"/>
          <w:szCs w:val="24"/>
          <w:lang w:eastAsia="zh-CN"/>
        </w:rPr>
        <w:t>供应商</w:t>
      </w:r>
      <w:r>
        <w:rPr>
          <w:rFonts w:ascii="仿宋_GB2312" w:hAnsi="仿宋_GB2312" w:eastAsia="仿宋_GB2312" w:cs="仿宋_GB2312"/>
          <w:color w:val="auto"/>
          <w:sz w:val="22"/>
          <w:szCs w:val="24"/>
        </w:rPr>
        <w:t>提供的复印件在本次投标中予以认可（即不因“复印无效”字样而认定资信证明复印件无效）。③银行出具的存款证明不能替代银行资信证明。</w:t>
      </w:r>
    </w:p>
    <w:p w14:paraId="5906729F">
      <w:pPr>
        <w:rPr>
          <w:rFonts w:ascii="仿宋_GB2312" w:hAnsi="仿宋_GB2312" w:eastAsia="仿宋_GB2312" w:cs="仿宋_GB2312"/>
          <w:color w:val="auto"/>
        </w:rPr>
      </w:pPr>
      <w:r>
        <w:rPr>
          <w:rFonts w:ascii="仿宋_GB2312" w:hAnsi="仿宋_GB2312" w:eastAsia="仿宋_GB2312" w:cs="仿宋_GB2312"/>
          <w:color w:val="auto"/>
        </w:rPr>
        <w:br w:type="page"/>
      </w:r>
    </w:p>
    <w:p w14:paraId="2641A302">
      <w:pPr>
        <w:numPr>
          <w:ilvl w:val="0"/>
          <w:numId w:val="2"/>
        </w:numPr>
        <w:jc w:val="both"/>
        <w:rPr>
          <w:rFonts w:hint="eastAsia"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供应商特定资格条件</w:t>
      </w:r>
    </w:p>
    <w:p w14:paraId="0B65CAD5">
      <w:pPr>
        <w:numPr>
          <w:ilvl w:val="0"/>
          <w:numId w:val="3"/>
        </w:numPr>
        <w:ind w:firstLine="440" w:firstLineChars="200"/>
        <w:jc w:val="both"/>
        <w:rPr>
          <w:rFonts w:hint="eastAsia" w:ascii="仿宋_GB2312" w:hAnsi="仿宋_GB2312" w:eastAsia="仿宋_GB2312" w:cs="仿宋_GB2312"/>
          <w:color w:val="auto"/>
          <w:sz w:val="22"/>
          <w:szCs w:val="24"/>
          <w:lang w:val="en-US" w:eastAsia="zh-CN"/>
        </w:rPr>
      </w:pPr>
      <w:r>
        <w:rPr>
          <w:rFonts w:ascii="仿宋_GB2312" w:hAnsi="仿宋_GB2312" w:eastAsia="仿宋_GB2312" w:cs="仿宋_GB2312"/>
          <w:color w:val="auto"/>
          <w:sz w:val="22"/>
          <w:szCs w:val="24"/>
        </w:rPr>
        <w:t>供应商在递交响应文件截止时间前被“信用中国 ” 网站（www.creditchina.gov.cn）和中国政 府采购网（www.ccgp.gov.cn）上被列入失信 被执行人、重大税收违法失信主体、政府采购 严重违法失信行为记录名单的，不得参加</w:t>
      </w:r>
      <w:r>
        <w:rPr>
          <w:rFonts w:hint="eastAsia" w:ascii="仿宋_GB2312" w:hAnsi="仿宋_GB2312" w:eastAsia="仿宋_GB2312" w:cs="仿宋_GB2312"/>
          <w:color w:val="auto"/>
          <w:sz w:val="22"/>
          <w:szCs w:val="24"/>
          <w:lang w:val="en-US" w:eastAsia="zh-CN"/>
        </w:rPr>
        <w:t>磋商。</w:t>
      </w:r>
    </w:p>
    <w:p w14:paraId="5FED838E">
      <w:pPr>
        <w:widowControl w:val="0"/>
        <w:numPr>
          <w:numId w:val="0"/>
        </w:numPr>
        <w:jc w:val="both"/>
        <w:rPr>
          <w:rFonts w:hint="eastAsia" w:ascii="仿宋_GB2312" w:hAnsi="仿宋_GB2312" w:eastAsia="仿宋_GB2312" w:cs="仿宋_GB2312"/>
          <w:color w:val="auto"/>
          <w:sz w:val="22"/>
          <w:szCs w:val="24"/>
          <w:lang w:val="en-US" w:eastAsia="zh-CN"/>
        </w:rPr>
      </w:pPr>
    </w:p>
    <w:p w14:paraId="15B071B7">
      <w:pPr>
        <w:widowControl w:val="0"/>
        <w:numPr>
          <w:numId w:val="0"/>
        </w:numPr>
        <w:jc w:val="both"/>
        <w:rPr>
          <w:rFonts w:hint="eastAsia" w:ascii="仿宋_GB2312" w:hAnsi="仿宋_GB2312" w:eastAsia="仿宋_GB2312" w:cs="仿宋_GB2312"/>
          <w:color w:val="auto"/>
          <w:sz w:val="22"/>
          <w:szCs w:val="24"/>
          <w:lang w:val="en-US" w:eastAsia="zh-CN"/>
        </w:rPr>
      </w:pPr>
    </w:p>
    <w:p w14:paraId="67CFB7DE">
      <w:pPr>
        <w:widowControl w:val="0"/>
        <w:numPr>
          <w:numId w:val="0"/>
        </w:numPr>
        <w:ind w:firstLine="440" w:firstLineChars="200"/>
        <w:jc w:val="both"/>
        <w:rPr>
          <w:rFonts w:hint="default" w:ascii="仿宋_GB2312" w:hAnsi="仿宋_GB2312" w:eastAsia="仿宋_GB2312" w:cs="仿宋_GB2312"/>
          <w:color w:val="auto"/>
          <w:sz w:val="22"/>
          <w:szCs w:val="24"/>
          <w:lang w:val="en-US" w:eastAsia="zh-CN"/>
        </w:rPr>
      </w:pPr>
      <w:r>
        <w:rPr>
          <w:rFonts w:hint="eastAsia" w:ascii="仿宋_GB2312" w:hAnsi="仿宋_GB2312" w:eastAsia="仿宋_GB2312" w:cs="仿宋_GB2312"/>
          <w:color w:val="auto"/>
          <w:sz w:val="22"/>
          <w:szCs w:val="24"/>
          <w:lang w:val="en-US" w:eastAsia="zh-CN"/>
        </w:rPr>
        <w:t>2、投标人须具有有效的《食品经营许可证》</w:t>
      </w:r>
    </w:p>
    <w:p w14:paraId="29E395B6">
      <w:pPr>
        <w:numPr>
          <w:ilvl w:val="0"/>
          <w:numId w:val="0"/>
        </w:numPr>
        <w:ind w:leftChars="0"/>
        <w:jc w:val="both"/>
        <w:rPr>
          <w:rFonts w:hint="eastAsia" w:ascii="黑体" w:hAnsi="黑体" w:eastAsia="黑体" w:cs="黑体"/>
          <w:b w:val="0"/>
          <w:bCs w:val="0"/>
          <w:color w:val="1F4E79"/>
          <w:kern w:val="2"/>
          <w:sz w:val="24"/>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7C7DE7"/>
    <w:multiLevelType w:val="singleLevel"/>
    <w:tmpl w:val="D07C7DE7"/>
    <w:lvl w:ilvl="0" w:tentative="0">
      <w:start w:val="1"/>
      <w:numFmt w:val="decimal"/>
      <w:suff w:val="nothing"/>
      <w:lvlText w:val="%1、"/>
      <w:lvlJc w:val="left"/>
    </w:lvl>
  </w:abstractNum>
  <w:abstractNum w:abstractNumId="1">
    <w:nsid w:val="2D5245C2"/>
    <w:multiLevelType w:val="singleLevel"/>
    <w:tmpl w:val="2D5245C2"/>
    <w:lvl w:ilvl="0" w:tentative="0">
      <w:start w:val="2"/>
      <w:numFmt w:val="chineseCounting"/>
      <w:suff w:val="nothing"/>
      <w:lvlText w:val="%1、"/>
      <w:lvlJc w:val="left"/>
      <w:rPr>
        <w:rFonts w:hint="eastAsia"/>
      </w:rPr>
    </w:lvl>
  </w:abstractNum>
  <w:abstractNum w:abstractNumId="2">
    <w:nsid w:val="3DA0E45F"/>
    <w:multiLevelType w:val="singleLevel"/>
    <w:tmpl w:val="3DA0E45F"/>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1BE9406F"/>
    <w:rsid w:val="236E3869"/>
    <w:rsid w:val="4629227B"/>
    <w:rsid w:val="5507575D"/>
    <w:rsid w:val="5A4F3024"/>
    <w:rsid w:val="64875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eastAsia="宋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1248</Words>
  <Characters>1287</Characters>
  <Lines>0</Lines>
  <Paragraphs>0</Paragraphs>
  <TotalTime>0</TotalTime>
  <ScaleCrop>false</ScaleCrop>
  <LinksUpToDate>false</LinksUpToDate>
  <CharactersWithSpaces>1298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2024-11-06T03:13:00Z</dcterms:created>
  <dc:creator>Administrator</dc:creator>
  <cp:lastModifiedBy>赵锦天</cp:lastModifiedBy>
  <dcterms:modified xsi:type="dcterms:W3CDTF">2025-05-14T02:22:02Z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889A1A315FF34E8382A3BCE5E50B389A_12</vt:lpwstr>
  </property>
  <property fmtid="{D5CDD505-2E9C-101B-9397-08002B2CF9AE}" pid="4" name="KSOTemplateDocerSaveRecord">
    <vt:lpwstr>eyJoZGlkIjoiNDIyN2E3ODkyYjI1ZmIyMTVkYTg4N2M1OGU4YjhlY2MiLCJ1c2VySWQiOiIxMTcyNDcyOSJ9</vt:lpwstr>
  </property>
</Properties>
</file>