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版本号：SXLZ-2025-13120250516001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西安市长安区引镇街办赵家坡常村（塬上）村应急供水项目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SXLZ-2025-131</w:t>
      </w:r>
      <w:r>
        <w:br/>
      </w:r>
      <w:r>
        <w:br/>
      </w:r>
      <w:r>
        <w:br/>
      </w:r>
    </w:p>
    <w:p>
      <w:pPr>
        <w:pStyle w:val="null3"/>
        <w:jc w:val="center"/>
        <w:outlineLvl w:val="2"/>
      </w:pPr>
      <w:r>
        <w:rPr>
          <w:rFonts w:ascii="仿宋_GB2312" w:hAnsi="仿宋_GB2312" w:cs="仿宋_GB2312" w:eastAsia="仿宋_GB2312"/>
          <w:sz w:val="28"/>
          <w:b/>
        </w:rPr>
        <w:t>西安市长安区供水管理中心</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西安市长安区供水管理中心</w:t>
      </w:r>
      <w:r>
        <w:rPr>
          <w:rFonts w:ascii="仿宋_GB2312" w:hAnsi="仿宋_GB2312" w:cs="仿宋_GB2312" w:eastAsia="仿宋_GB2312"/>
        </w:rPr>
        <w:t>委托，拟对</w:t>
      </w:r>
      <w:r>
        <w:rPr>
          <w:rFonts w:ascii="仿宋_GB2312" w:hAnsi="仿宋_GB2312" w:cs="仿宋_GB2312" w:eastAsia="仿宋_GB2312"/>
        </w:rPr>
        <w:t>西安市长安区引镇街办赵家坡常村（塬上）村应急供水项目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西安市长安区引镇街办赵家坡常村（塬上）村应急供水项目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新打200米深井1眼，安装水泵1台，维修控制柜1台，修建井台1座，铺设主管道160米，地埋线160米，水源井保护围栏8米。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采购包1（西安市长安区引镇街办赵家坡常村（塬上）村应急供水项目）：属于专门面向中小企业采购。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2、资质要求：供应商须具备建设行政主管部门颁发的水利水电工程施工总承包三级（含三级）以上资质，并具备有效的安全生产许可证</w:t>
      </w:r>
    </w:p>
    <w:p>
      <w:pPr>
        <w:pStyle w:val="null3"/>
      </w:pPr>
      <w:r>
        <w:rPr>
          <w:rFonts w:ascii="仿宋_GB2312" w:hAnsi="仿宋_GB2312" w:cs="仿宋_GB2312" w:eastAsia="仿宋_GB2312"/>
        </w:rPr>
        <w:t>3、项目经理：拟派项目经理须具备有效的水利水电工程专业二级（含二级）以上建造师注册证，具备水行政主管部门颁发的安全生产考核合格证（B证），且在本单位注册，无在建工程（提供无在建工程承诺书）</w:t>
      </w:r>
    </w:p>
    <w:p>
      <w:pPr>
        <w:pStyle w:val="null3"/>
      </w:pPr>
      <w:r>
        <w:rPr>
          <w:rFonts w:ascii="仿宋_GB2312" w:hAnsi="仿宋_GB2312" w:cs="仿宋_GB2312" w:eastAsia="仿宋_GB2312"/>
        </w:rPr>
        <w:t>4、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5、税收缴纳证明：提供2024年11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6、社会保障资金缴纳证明：提供2024年11月至今已缴纳的至少一个月的社会保障资金缴存单据或社保机构开具的社会保险参保缴费情况证明，依法不需要缴纳社会保障资金的单位应提供相关证明材料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9、履行合同所必需的设备和专业技术能力的承诺函：提供具有履行合同所必需的设备和专业技术能力的承诺函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11、中小企业声明函：本项目专门面向中小企业采购（提供中小企业声明函）</w:t>
      </w:r>
    </w:p>
    <w:p>
      <w:pPr>
        <w:pStyle w:val="null3"/>
      </w:pPr>
      <w:r>
        <w:rPr>
          <w:rFonts w:ascii="仿宋_GB2312" w:hAnsi="仿宋_GB2312" w:cs="仿宋_GB2312" w:eastAsia="仿宋_GB2312"/>
        </w:rPr>
        <w:t>12、不接受联合体：本项目不接受联合体，供应商需在项目电子化交易系统中按要求上传相应证明文件并进行电子签章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西安市长安区韦曲长兴路158号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西安市长安区供水管理中心经办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13619289399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韦建红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18629013236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代理服务费收费标准：1.根据成交金额，参照国家计委颁布的《招标代理服务收费管理暂行办法》（计价格[2002]1980号）及发改办价格[2003]857号文件的规定标准收取。 不足5000元的，按5000元定额收取。 2.采购代理服务费由成交供应商支付，成交供应商领取成交通知书时，须一次性向采购代理机构交纳采购代理服务费。 3.采购代理服务费账户： 公司名称：陕西龙泽项目咨询管理有限公司 账 号: 61050111583800000087 开 户 行：中国建设银行股份有限公司西安雁塔南路南段支行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西安市长安区供水管理中心</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西安市长安区供水管理中心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乙方应认真按照国家颁发的施工验收规范及本工程设计图纸要求进行施工，并应接受甲方代表或委派人员的检查、验收，乙方应为甲方人员检查提供便利条件。施工标准应达到甲方的功能要求。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联系人：韦建红</w:t>
      </w:r>
    </w:p>
    <w:p>
      <w:pPr>
        <w:pStyle w:val="null3"/>
      </w:pPr>
      <w:r>
        <w:rPr>
          <w:rFonts w:ascii="仿宋_GB2312" w:hAnsi="仿宋_GB2312" w:cs="仿宋_GB2312" w:eastAsia="仿宋_GB2312"/>
        </w:rPr>
        <w:t>联系电话：18629013236</w:t>
      </w:r>
    </w:p>
    <w:p>
      <w:pPr>
        <w:pStyle w:val="null3"/>
      </w:pPr>
      <w:r>
        <w:rPr>
          <w:rFonts w:ascii="仿宋_GB2312" w:hAnsi="仿宋_GB2312" w:cs="仿宋_GB2312" w:eastAsia="仿宋_GB2312"/>
        </w:rPr>
        <w:t>地址：西安市国家民用航天产业基地神舟五路与东长安街交汇处东南角航天城中心广场1号楼708室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258,800.00</w:t>
      </w:r>
    </w:p>
    <w:p>
      <w:pPr>
        <w:pStyle w:val="null3"/>
      </w:pPr>
      <w:r>
        <w:rPr>
          <w:rFonts w:ascii="仿宋_GB2312" w:hAnsi="仿宋_GB2312" w:cs="仿宋_GB2312" w:eastAsia="仿宋_GB2312"/>
        </w:rPr>
        <w:t>采购包最高限价（元）: 258,800.00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西安市长安区引镇街办赵家坡常村 （塬上）村应急供水项目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258,800.00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标的名称：西安市长安区引镇街办赵家坡常村 （塬上）村应急供水项目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新打</w:t>
            </w:r>
            <w:r>
              <w:rPr>
                <w:rFonts w:ascii="仿宋_GB2312" w:hAnsi="仿宋_GB2312" w:cs="仿宋_GB2312" w:eastAsia="仿宋_GB2312"/>
                <w:sz w:val="21"/>
              </w:rPr>
              <w:t>200米深井1眼，安装水泵1台，维修控制柜1台，修建井台1座，铺设主管道160米，地埋线160米，水源井保护围栏8米。</w:t>
            </w:r>
          </w:p>
          <w:p>
            <w:pPr>
              <w:pStyle w:val="null3"/>
              <w:jc w:val="both"/>
            </w:pPr>
            <w:r>
              <w:rPr>
                <w:rFonts w:ascii="仿宋_GB2312" w:hAnsi="仿宋_GB2312" w:cs="仿宋_GB2312" w:eastAsia="仿宋_GB2312"/>
                <w:sz w:val="21"/>
                <w:b/>
              </w:rPr>
              <w:t>二、工程内容和施工地点、计划工期、缺陷责任期、质量保修期</w:t>
            </w:r>
          </w:p>
          <w:p>
            <w:pPr>
              <w:pStyle w:val="null3"/>
            </w:pPr>
            <w:r>
              <w:rPr>
                <w:rFonts w:ascii="仿宋_GB2312" w:hAnsi="仿宋_GB2312" w:cs="仿宋_GB2312" w:eastAsia="仿宋_GB2312"/>
                <w:sz w:val="21"/>
              </w:rPr>
              <w:t>（一）工程内容：工程量清单包含所有内容。</w:t>
            </w:r>
          </w:p>
          <w:p>
            <w:pPr>
              <w:pStyle w:val="null3"/>
            </w:pPr>
            <w:r>
              <w:rPr>
                <w:rFonts w:ascii="仿宋_GB2312" w:hAnsi="仿宋_GB2312" w:cs="仿宋_GB2312" w:eastAsia="仿宋_GB2312"/>
                <w:sz w:val="21"/>
              </w:rPr>
              <w:t>（二）工程地点：位于陕西省西安市长安区。</w:t>
            </w:r>
          </w:p>
          <w:p>
            <w:pPr>
              <w:pStyle w:val="null3"/>
            </w:pPr>
            <w:r>
              <w:rPr>
                <w:rFonts w:ascii="仿宋_GB2312" w:hAnsi="仿宋_GB2312" w:cs="仿宋_GB2312" w:eastAsia="仿宋_GB2312"/>
                <w:sz w:val="21"/>
              </w:rPr>
              <w:t>（三）</w:t>
            </w:r>
            <w:r>
              <w:rPr>
                <w:rFonts w:ascii="仿宋_GB2312" w:hAnsi="仿宋_GB2312" w:cs="仿宋_GB2312" w:eastAsia="仿宋_GB2312"/>
                <w:sz w:val="21"/>
              </w:rPr>
              <w:t>计划工期：</w:t>
            </w:r>
            <w:r>
              <w:rPr>
                <w:rFonts w:ascii="仿宋_GB2312" w:hAnsi="仿宋_GB2312" w:cs="仿宋_GB2312" w:eastAsia="仿宋_GB2312"/>
                <w:sz w:val="21"/>
              </w:rPr>
              <w:t>35日历天</w:t>
            </w:r>
            <w:r>
              <w:rPr>
                <w:rFonts w:ascii="仿宋_GB2312" w:hAnsi="仿宋_GB2312" w:cs="仿宋_GB2312" w:eastAsia="仿宋_GB2312"/>
                <w:sz w:val="21"/>
              </w:rPr>
              <w:t>。</w:t>
            </w:r>
          </w:p>
          <w:p>
            <w:pPr>
              <w:pStyle w:val="null3"/>
            </w:pPr>
            <w:r>
              <w:rPr>
                <w:rFonts w:ascii="仿宋_GB2312" w:hAnsi="仿宋_GB2312" w:cs="仿宋_GB2312" w:eastAsia="仿宋_GB2312"/>
                <w:sz w:val="21"/>
              </w:rPr>
              <w:t>（四）工程质量：质量达到合格标准，并满足国家相关标准、规范及有关技术文件要求。</w:t>
            </w:r>
          </w:p>
          <w:p>
            <w:pPr>
              <w:pStyle w:val="null3"/>
              <w:jc w:val="both"/>
            </w:pPr>
            <w:r>
              <w:rPr>
                <w:rFonts w:ascii="仿宋_GB2312" w:hAnsi="仿宋_GB2312" w:cs="仿宋_GB2312" w:eastAsia="仿宋_GB2312"/>
                <w:sz w:val="21"/>
              </w:rPr>
              <w:t>（五）质量保修期：一年</w:t>
            </w:r>
          </w:p>
          <w:p>
            <w:pPr>
              <w:pStyle w:val="null3"/>
              <w:jc w:val="both"/>
            </w:pPr>
            <w:r>
              <w:rPr>
                <w:rFonts w:ascii="仿宋_GB2312" w:hAnsi="仿宋_GB2312" w:cs="仿宋_GB2312" w:eastAsia="仿宋_GB2312"/>
                <w:sz w:val="21"/>
                <w:b/>
              </w:rPr>
              <w:t>三、详见附件</w:t>
            </w:r>
            <w:r>
              <w:rPr>
                <w:rFonts w:ascii="仿宋_GB2312" w:hAnsi="仿宋_GB2312" w:cs="仿宋_GB2312" w:eastAsia="仿宋_GB2312"/>
                <w:sz w:val="21"/>
                <w:b/>
              </w:rPr>
              <w:t>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采购预算（最高限价）编制依据： 1.编制办法及费率执行陕发改项目[2017]1606号《陕西省水利工程设计概（估）算编制规定》、陕发改投资[2016]1303号文颁发的《陕西省水利水电工程营业税改增值税计价依据调整办法》、办财务函〔2019〕448号《水利部办公厅关于调整水利工程计价依据增值税计算标准的通知》进行编制； 2.建筑工程：陕西省发改2017年颁发的《陕西省水利建筑工程预算定额》，不足部分采用相关专业定额补充； 3.安装工程：陕西省发改2017年颁发的《陕西省水利设备安装工程预算定额》； 4.施工机械台班费定额：陕西省发改2017年颁发的《陕西省水利工程施工机械台班费定额》； 5.常规的施工组织设计及施工方法。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纸质响应文件应通过专用制作软件直接打印）、电子版壹份（电子版包含word版响应文件，签章后的pdf响应文件）。线下递交文件截止时间同项目电子化交易系统递交文件截止时间，线下递交地址：西安市国家民用航天产业基地神舟五路与东长安街交汇处东南角航天城中心广场1号楼708室。纸质响应文件胶装，标明供应商名称密封递交；供应商应保持响应文件纸质版内容、电子版内容与系统上传内容完全一致，否则将承担一切法律责任。若电子投标文件与纸质投标文件不一致的，以电子投标文件为准。 2、供应商务必在开标截止时间30分钟前，通过项目电子化交易系统进行签到，如未进行签到，产生的一切后果由供应商自行承担。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各供应商所有分项报价（与最后磋商报价比例一致）同比例下浮。 4、签名是指手写签名或者加盖名章，盖章是指加盖单位印章。 5、本项目所属行业为建筑业。中小微企业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6、供应商基本信息及项目经理的相关信息在“陕西省住房和城乡建设厅网站（http://js.shaanxi.gov.cn/）”可查询。 7、落实政府采购政策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5.《陕西省中小企业政府采购信用融资办法》（陕财办采〔2018〕23号）； 6.《关于印发环境标志产品政府采购品目清单的通知》（财库〔2019〕18号）； 7.《关于印发节能产品政府采购品目清单的通知》（财库〔2019〕19号）； 8.《陕西省财政厅关于加快推进我省中小企业政府采购信用融资工作的通知》（陕财办采〔2020〕15号）； 9.《政府采购促进中小企业发展管理办法》（财库〔2020〕46号）； 10.《关于运用政府采购政策支持乡村产业振兴的通知》（财库〔2021〕19号）； 11.陕西省财政厅《关于进一步加强政府绿色采购有关问题的通知》（陕财办采〔2021〕29号）； 12.《关于进一步加大政府采购支持中小企业力度的通知》（财库〔2022〕19号； 13.《关于扩大政府采购支持绿色建材促进建筑品质提升政策实施范围的通知》（财库〔2022〕35号）； 14.其他需执行的政府采购政策。若享受以上政策优惠的企业，提供相应声明函或品目范围内产品有效认证证书。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投标人认为需要说明的其他内容.docx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供应商须具备建设行政主管部门颁发的水利水电工程施工总承包三级（含三级）以上资质，并具备有效的安全生产许可证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拟派项目经理须具备有效的水利水电工程专业二级（含二级）以上建造师注册证，具备水行政主管部门颁发的安全生产考核合格证（B证），且在本单位注册，无在建工程（提供无在建工程承诺书）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投标人认为需要说明的其他内容.docx 供应商资格要求.docx 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供应商资格要求.docx 中小企业声明函 残疾人福利性单位声明函 报价函 标的清单 响应函 技术部分.docx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投标人认为需要说明的其他内容.docx 供应商资格要求.docx 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应符合本项目工程量清单以及清单说明的要求</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符合磋商文件实质性条款的要求</w:t>
            </w:r>
          </w:p>
        </w:tc>
        <w:tc>
          <w:tcPr>
            <w:tcW w:type="dxa" w:w="1661"/>
          </w:tcPr>
          <w:p>
            <w:pPr>
              <w:pStyle w:val="null3"/>
            </w:pPr>
            <w:r>
              <w:rPr>
                <w:rFonts w:ascii="仿宋_GB2312" w:hAnsi="仿宋_GB2312" w:cs="仿宋_GB2312" w:eastAsia="仿宋_GB2312"/>
              </w:rPr>
              <w:t>响应文件封面 投标人认为需要说明的其他内容.docx 供应商资格要求.docx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响应文件如含有采购人不能接受的附加条件的（不合格）</w:t>
            </w:r>
          </w:p>
        </w:tc>
        <w:tc>
          <w:tcPr>
            <w:tcW w:type="dxa" w:w="1661"/>
          </w:tcPr>
          <w:p>
            <w:pPr>
              <w:pStyle w:val="null3"/>
            </w:pPr>
            <w:r>
              <w:rPr>
                <w:rFonts w:ascii="仿宋_GB2312" w:hAnsi="仿宋_GB2312" w:cs="仿宋_GB2312" w:eastAsia="仿宋_GB2312"/>
              </w:rPr>
              <w:t>响应文件封面 投标人认为需要说明的其他内容.docx 供应商资格要求.docx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投标人认为需要说明的其他内容.docx 供应商资格要求.docx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对本项目特性了解透彻，施工方案、方法与技术措施内容全面，方案先进、经济与项目实际结合紧密，对施工具有高度指导性，得8分；对项目特性了解较好，施工组织设计方案基本可行，得6分；对项目特性了解一般，施工组织设计方案一般可行，得4分；施工方案内容不完整不详细不具体不能满足磋商文件要求，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目标明确，管理体系健全，预控和动态控制措施完整，实施工艺、手段先进、可靠、科学，管理体系和组织措施功能完善、管理幅度适宜，得8分；质量目标基本明确，控制措施基本全面，得6分；质量目标一般明确，控制措施一般，得4分；管理体系不完整不具体，不能满足磋商文件要求，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生产目标明确，预防和动态控制措施及制度完整、到位，管理体系和组织措施功能完善，得8分；安全生产目标基本明确，控制措施基本全面，得6分；安全生产目标一般明确，控制措施一般，得4分；不能满足磋商文件要求，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水土保持目标明确，预防和动态控制措施及制度完整、到位，管理体系和组织措施功能完善，得8分；目标基本明确，控制措施基本全面，得6分；目标一般明确，控制措施一般，得4分；管理体系不完整不具体，不能满足磋商文件要求，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总工期满足磋商文件要求、进度计划有横道图且工期控制合理得8分；总工期满足磋商文件要求、进度计划有横道图，工期控制基本合理得6分；总工期满足磋商文件要求、进度计划有横道图，工期控制一般，得4分；总工期满足磋商文件要求，工期控制不行，无进度计划横道图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设备配备、劳动力配备、资金配备满足本工程要求得8分；设备配备、劳动力配备、资金配备不全面得6分；设备配备、劳动力配备、资金配备一般得4分；不满足施工要求得2分；未提供不计分。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对突发事件的应急措施和解决方案，方案科学、合理可行性强得6分；方案一般，基本可行性得4分；方案不合理，不可行性得2分；未提供不计分。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主要专业技术人员、管理人员的配备：项目经理部的机构设置合理，配备有施工员、专职质检员、安全员、材料员等管理人员，满足工程需要者得 6 分；机构设置一般，人员配备基本满足工程需要者得4分；人员配备不满足工程需要者得2分；未提供不计分。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 3 年(自2022年1月1 日至今以合同签订日期为准)类似项目业绩，完成一个业绩得2 分，每增加一个业绩加1分，最多得 5 分；（业绩包括合同）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在项目实施阶段及完成后所承诺的责任、服务内容，并针对本项目实际需求提供实质性服务承诺，确有利于本次招标，服务内容全面合理，实施性强得5分；服务内容一般，实施性一般得3分；内容不全面、实施性不强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详见附件：合同0519.docx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