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版本号：THXZB2025-102920250523001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食堂主副食材配送服务项目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THXZB2025-1029</w:t>
      </w:r>
      <w:r>
        <w:br/>
      </w:r>
      <w:r>
        <w:br/>
      </w:r>
      <w:r>
        <w:br/>
      </w:r>
    </w:p>
    <w:p>
      <w:pPr>
        <w:pStyle w:val="null3"/>
        <w:jc w:val="center"/>
        <w:outlineLvl w:val="2"/>
      </w:pPr>
      <w:r>
        <w:rPr>
          <w:rFonts w:ascii="仿宋_GB2312" w:hAnsi="仿宋_GB2312" w:cs="仿宋_GB2312" w:eastAsia="仿宋_GB2312"/>
          <w:sz w:val="28"/>
          <w:b/>
        </w:rPr>
        <w:t>西安市长安区子午区域敬老院</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西安市长安区子午区域敬老院</w:t>
      </w:r>
      <w:r>
        <w:rPr>
          <w:rFonts w:ascii="仿宋_GB2312" w:hAnsi="仿宋_GB2312" w:cs="仿宋_GB2312" w:eastAsia="仿宋_GB2312"/>
        </w:rPr>
        <w:t>委托，拟对</w:t>
      </w:r>
      <w:r>
        <w:rPr>
          <w:rFonts w:ascii="仿宋_GB2312" w:hAnsi="仿宋_GB2312" w:cs="仿宋_GB2312" w:eastAsia="仿宋_GB2312"/>
        </w:rPr>
        <w:t>食堂主副食材配送服务项目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食堂主副食材配送服务项目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为西安市长安区子午区域敬老院食堂提供主副食材采购及配送服务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采购包1（食堂主副食材配送服务项目）：属于专门面向中小企业采购。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供应商身份证明：法定代表人直接投标须提交法定代表人证明书，法定代表人授权代表参加投标的，须出具法定代表人证明书及授权书，供应商需在项目电子化交易系统中按要求上传相应证明文件并进行电子签章；</w:t>
      </w:r>
    </w:p>
    <w:p>
      <w:pPr>
        <w:pStyle w:val="null3"/>
      </w:pPr>
      <w:r>
        <w:rPr>
          <w:rFonts w:ascii="仿宋_GB2312" w:hAnsi="仿宋_GB2312" w:cs="仿宋_GB2312" w:eastAsia="仿宋_GB2312"/>
        </w:rPr>
        <w:t>3、食品经营许可证：供应商具有有效的《食品经营许可证》，供应商需在项目电子化交易系统中按要求上传相应证明文件并进行电子签章；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5、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西安市长安区子午区域敬老院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西安市长安区子午街办曹村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西安市长安区子午区域敬老院经办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029-89251568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计取，以预算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西安市长安区子午区域敬老院</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西安市长安区子午区域敬老院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西安市长安区子午区域敬老院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为西安市长安区子午区域敬老院食堂提供主副食材采购及配送服务。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食堂主副食材配送服务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标的名称：食堂主副食材配送服务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食材采购要求：所有食材均须符合《中华人民共和国食品安全法》。</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、食材采购</w:t>
            </w:r>
            <w:r>
              <w:rPr>
                <w:rFonts w:ascii="仿宋_GB2312" w:hAnsi="仿宋_GB2312" w:cs="仿宋_GB2312" w:eastAsia="仿宋_GB2312"/>
                <w:sz w:val="21"/>
                <w:b/>
              </w:rPr>
              <w:t>及配送品类</w:t>
            </w:r>
            <w:r>
              <w:rPr>
                <w:rFonts w:ascii="仿宋_GB2312" w:hAnsi="仿宋_GB2312" w:cs="仿宋_GB2312" w:eastAsia="仿宋_GB2312"/>
                <w:sz w:val="21"/>
                <w:b/>
              </w:rPr>
              <w:t>明细</w:t>
            </w:r>
            <w:r>
              <w:rPr>
                <w:rFonts w:ascii="仿宋_GB2312" w:hAnsi="仿宋_GB2312" w:cs="仿宋_GB2312" w:eastAsia="仿宋_GB2312"/>
                <w:sz w:val="21"/>
                <w:b/>
              </w:rPr>
              <w:t>：</w:t>
            </w:r>
          </w:p>
          <w:tbl>
            <w:tblPr>
              <w:tblBorders>
                <w:top w:val="none" w:color="000000" w:sz="4"/>
                <w:left w:val="none" w:color="000000" w:sz="4"/>
                <w:bottom w:val="none" w:color="000000" w:sz="4"/>
                <w:right w:val="none" w:color="000000" w:sz="4"/>
                <w:insideH w:val="none"/>
                <w:insideV w:val="none"/>
              </w:tblBorders>
            </w:tblPr>
            <w:tblGrid>
              <w:gridCol w:w="415"/>
              <w:gridCol w:w="313"/>
              <w:gridCol w:w="356"/>
              <w:gridCol w:w="1457"/>
            </w:tblGrid>
            <w:tr>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规格型号</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计量单位</w:t>
                  </w:r>
                </w:p>
              </w:tc>
              <w:tc>
                <w:tcPr>
                  <w:tcW w:type="dxa" w:w="1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质量标准</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大米</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袋</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符合国家标准要求，资质证照齐全，标识</w:t>
                  </w:r>
                  <w:r>
                    <w:rPr>
                      <w:rFonts w:ascii="仿宋_GB2312" w:hAnsi="仿宋_GB2312" w:cs="仿宋_GB2312" w:eastAsia="仿宋_GB2312"/>
                      <w:sz w:val="21"/>
                    </w:rPr>
                    <w:t>(生产日期、保质期)齐全</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袋</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符合国家标准要求，资质证照齐全，标识</w:t>
                  </w:r>
                  <w:r>
                    <w:rPr>
                      <w:rFonts w:ascii="仿宋_GB2312" w:hAnsi="仿宋_GB2312" w:cs="仿宋_GB2312" w:eastAsia="仿宋_GB2312"/>
                      <w:sz w:val="21"/>
                    </w:rPr>
                    <w:t>(生产日期、保质期)齐全</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食用油</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升</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符合国家标准要求，资质证照齐全，标识</w:t>
                  </w:r>
                  <w:r>
                    <w:rPr>
                      <w:rFonts w:ascii="仿宋_GB2312" w:hAnsi="仿宋_GB2312" w:cs="仿宋_GB2312" w:eastAsia="仿宋_GB2312"/>
                      <w:sz w:val="21"/>
                    </w:rPr>
                    <w:t>(生产日期、保质期)齐全</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干货、调味品</w:t>
                  </w:r>
                  <w:r>
                    <w:rPr>
                      <w:rFonts w:ascii="仿宋_GB2312" w:hAnsi="仿宋_GB2312" w:cs="仿宋_GB2312" w:eastAsia="仿宋_GB2312"/>
                      <w:sz w:val="21"/>
                    </w:rPr>
                    <w:t>、其他</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r>
                    <w:rPr>
                      <w:rFonts w:ascii="仿宋_GB2312" w:hAnsi="仿宋_GB2312" w:cs="仿宋_GB2312" w:eastAsia="仿宋_GB2312"/>
                      <w:sz w:val="21"/>
                    </w:rPr>
                    <w:t>/袋</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r>
                    <w:rPr>
                      <w:rFonts w:ascii="仿宋_GB2312" w:hAnsi="仿宋_GB2312" w:cs="仿宋_GB2312" w:eastAsia="仿宋_GB2312"/>
                      <w:sz w:val="21"/>
                    </w:rPr>
                    <w:t>/克</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符合国家标准要求，资质证照齐全，标识</w:t>
                  </w:r>
                  <w:r>
                    <w:rPr>
                      <w:rFonts w:ascii="仿宋_GB2312" w:hAnsi="仿宋_GB2312" w:cs="仿宋_GB2312" w:eastAsia="仿宋_GB2312"/>
                      <w:sz w:val="21"/>
                    </w:rPr>
                    <w:t>(生产日期、保质期)齐全</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蔬菜类</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农药残留符合</w:t>
                  </w:r>
                  <w:r>
                    <w:rPr>
                      <w:rFonts w:ascii="仿宋_GB2312" w:hAnsi="仿宋_GB2312" w:cs="仿宋_GB2312" w:eastAsia="仿宋_GB2312"/>
                      <w:sz w:val="21"/>
                    </w:rPr>
                    <w:t>GB 2763-2021）《食品安全国家标准农残最大残留限量》</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肉类</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符合安全国家标准</w:t>
                  </w:r>
                  <w:r>
                    <w:rPr>
                      <w:rFonts w:ascii="仿宋_GB2312" w:hAnsi="仿宋_GB2312" w:cs="仿宋_GB2312" w:eastAsia="仿宋_GB2312"/>
                      <w:sz w:val="21"/>
                    </w:rPr>
                    <w:t>GB/T9959.3-2019、GB 2707-2016等标准</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水果类</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农药残留符合</w:t>
                  </w:r>
                  <w:r>
                    <w:rPr>
                      <w:rFonts w:ascii="仿宋_GB2312" w:hAnsi="仿宋_GB2312" w:cs="仿宋_GB2312" w:eastAsia="仿宋_GB2312"/>
                      <w:sz w:val="21"/>
                    </w:rPr>
                    <w:t>GB 2763-2021）《食品安全国家标准农残最大残留限量》</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禽蛋类</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 21710-2016 食品安全国家标准</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水产品</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鲜冻水产品符合现行《食品安全国家标准</w:t>
                  </w:r>
                  <w:r>
                    <w:rPr>
                      <w:rFonts w:ascii="仿宋_GB2312" w:hAnsi="仿宋_GB2312" w:cs="仿宋_GB2312" w:eastAsia="仿宋_GB2312"/>
                      <w:sz w:val="21"/>
                    </w:rPr>
                    <w:t>鲜、冻动物性</w:t>
                  </w:r>
                  <w:r>
                    <w:rPr>
                      <w:rFonts w:ascii="仿宋_GB2312" w:hAnsi="仿宋_GB2312" w:cs="仿宋_GB2312" w:eastAsia="仿宋_GB2312"/>
                      <w:sz w:val="21"/>
                    </w:rPr>
                    <w:t>水产品》（</w:t>
                  </w:r>
                  <w:r>
                    <w:rPr>
                      <w:rFonts w:ascii="仿宋_GB2312" w:hAnsi="仿宋_GB2312" w:cs="仿宋_GB2312" w:eastAsia="仿宋_GB2312"/>
                      <w:sz w:val="21"/>
                    </w:rPr>
                    <w:t>GB2733-2015）,水产制品符合现行《食品安全国家标准动物性水产制 品》（GB10136-2015）的要求</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豆制品类</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color w:val="333333"/>
                      <w:shd w:fill="FFFFFF" w:val="clear"/>
                    </w:rPr>
                    <w:t>国家标准</w:t>
                  </w:r>
                  <w:r>
                    <w:rPr>
                      <w:rFonts w:ascii="仿宋_GB2312" w:hAnsi="仿宋_GB2312" w:cs="仿宋_GB2312" w:eastAsia="仿宋_GB2312"/>
                      <w:sz w:val="21"/>
                      <w:color w:val="333333"/>
                      <w:shd w:fill="FFFFFF" w:val="clear"/>
                    </w:rPr>
                    <w:t>GB 2712-2014 食品安全国家标准 豆制品、</w:t>
                  </w:r>
                  <w:r>
                    <w:rPr>
                      <w:rFonts w:ascii="仿宋_GB2312" w:hAnsi="仿宋_GB2312" w:cs="仿宋_GB2312" w:eastAsia="仿宋_GB2312"/>
                      <w:sz w:val="21"/>
                    </w:rPr>
                    <w:t>GB/T 22106-2008 非发酵豆制品的要</w:t>
                  </w:r>
                  <w:r>
                    <w:rPr>
                      <w:rFonts w:ascii="仿宋_GB2312" w:hAnsi="仿宋_GB2312" w:cs="仿宋_GB2312" w:eastAsia="仿宋_GB2312"/>
                      <w:sz w:val="21"/>
                      <w:color w:val="333333"/>
                      <w:shd w:fill="FFFFFF" w:val="clear"/>
                    </w:rPr>
                    <w:t>求</w:t>
                  </w:r>
                  <w:r>
                    <w:rPr>
                      <w:rFonts w:ascii="仿宋_GB2312" w:hAnsi="仿宋_GB2312" w:cs="仿宋_GB2312" w:eastAsia="仿宋_GB2312"/>
                      <w:sz w:val="21"/>
                      <w:color w:val="333333"/>
                      <w:shd w:fill="FFFFFF" w:val="clear"/>
                    </w:rPr>
                    <w:t>及其他相关豆制品类国家标准</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冻货类</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 16869-2005</w:t>
                  </w:r>
                  <w:r>
                    <w:rPr>
                      <w:rFonts w:ascii="仿宋_GB2312" w:hAnsi="仿宋_GB2312" w:cs="仿宋_GB2312" w:eastAsia="仿宋_GB2312"/>
                      <w:sz w:val="21"/>
                    </w:rPr>
                    <w:t>、</w:t>
                  </w:r>
                  <w:r>
                    <w:rPr>
                      <w:rFonts w:ascii="仿宋_GB2312" w:hAnsi="仿宋_GB2312" w:cs="仿宋_GB2312" w:eastAsia="仿宋_GB2312"/>
                      <w:sz w:val="21"/>
                    </w:rPr>
                    <w:t>GB 2707-2016</w:t>
                  </w:r>
                  <w:r>
                    <w:rPr>
                      <w:rFonts w:ascii="仿宋_GB2312" w:hAnsi="仿宋_GB2312" w:cs="仿宋_GB2312" w:eastAsia="仿宋_GB2312"/>
                      <w:sz w:val="21"/>
                    </w:rPr>
                    <w:t>、</w:t>
                  </w:r>
                  <w:r>
                    <w:rPr>
                      <w:rFonts w:ascii="仿宋_GB2312" w:hAnsi="仿宋_GB2312" w:cs="仿宋_GB2312" w:eastAsia="仿宋_GB2312"/>
                      <w:sz w:val="21"/>
                    </w:rPr>
                    <w:t>GB/T 30889-2024</w:t>
                  </w:r>
                  <w:r>
                    <w:rPr>
                      <w:rFonts w:ascii="仿宋_GB2312" w:hAnsi="仿宋_GB2312" w:cs="仿宋_GB2312" w:eastAsia="仿宋_GB2312"/>
                      <w:sz w:val="21"/>
                    </w:rPr>
                    <w:t>、</w:t>
                  </w:r>
                  <w:r>
                    <w:rPr>
                      <w:rFonts w:ascii="仿宋_GB2312" w:hAnsi="仿宋_GB2312" w:cs="仿宋_GB2312" w:eastAsia="仿宋_GB2312"/>
                      <w:sz w:val="21"/>
                    </w:rPr>
                    <w:t>GB/T 18109-2011</w:t>
                  </w:r>
                  <w:r>
                    <w:rPr>
                      <w:rFonts w:ascii="仿宋_GB2312" w:hAnsi="仿宋_GB2312" w:cs="仿宋_GB2312" w:eastAsia="仿宋_GB2312"/>
                      <w:sz w:val="21"/>
                    </w:rPr>
                    <w:t>、</w:t>
                  </w:r>
                  <w:r>
                    <w:rPr>
                      <w:rFonts w:ascii="仿宋_GB2312" w:hAnsi="仿宋_GB2312" w:cs="仿宋_GB2312" w:eastAsia="仿宋_GB2312"/>
                      <w:sz w:val="21"/>
                    </w:rPr>
                    <w:t>GB 3165</w:t>
                  </w:r>
                  <w:r>
                    <w:rPr>
                      <w:rFonts w:ascii="仿宋_GB2312" w:hAnsi="仿宋_GB2312" w:cs="仿宋_GB2312" w:eastAsia="仿宋_GB2312"/>
                      <w:sz w:val="21"/>
                    </w:rPr>
                    <w:t>等最新的国家相关标准</w:t>
                  </w:r>
                </w:p>
              </w:tc>
            </w:tr>
          </w:tbl>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b/>
              </w:rPr>
              <w:t>技术、规格、质量要求及包装标准</w:t>
            </w:r>
            <w:r>
              <w:rPr>
                <w:rFonts w:ascii="仿宋_GB2312" w:hAnsi="仿宋_GB2312" w:cs="仿宋_GB2312" w:eastAsia="仿宋_GB2312"/>
                <w:sz w:val="21"/>
                <w:b/>
              </w:rPr>
              <w:t>：</w:t>
            </w:r>
          </w:p>
          <w:p>
            <w:pPr>
              <w:pStyle w:val="null3"/>
              <w:ind w:firstLine="422"/>
              <w:jc w:val="both"/>
            </w:pPr>
            <w:r>
              <w:rPr>
                <w:rFonts w:ascii="仿宋_GB2312" w:hAnsi="仿宋_GB2312" w:cs="仿宋_GB2312" w:eastAsia="仿宋_GB2312"/>
                <w:sz w:val="21"/>
                <w:b/>
                <w:color w:val="993300"/>
              </w:rPr>
              <w:t>3.1大米：</w:t>
            </w:r>
            <w:r>
              <w:rPr>
                <w:rFonts w:ascii="仿宋_GB2312" w:hAnsi="仿宋_GB2312" w:cs="仿宋_GB2312" w:eastAsia="仿宋_GB2312"/>
                <w:sz w:val="21"/>
                <w:color w:val="000000"/>
              </w:rPr>
              <w:t>大米原料为</w:t>
            </w:r>
            <w:r>
              <w:rPr>
                <w:rFonts w:ascii="仿宋_GB2312" w:hAnsi="仿宋_GB2312" w:cs="仿宋_GB2312" w:eastAsia="仿宋_GB2312"/>
                <w:sz w:val="21"/>
                <w:color w:val="000000"/>
              </w:rPr>
              <w:t>100%非转基因水稻，质量须达到 GB/T 1354-2018《大米》标准中大米粳米一级要求，具有“SC”食品生产许可证。具有米的固有色泽与香味，无污染、虫害，色泽、气味、口味正常；无异味、霉味；无虫蛀、结块、挂丝或杂质等，符合国家粮食卫生标准。包装应符合《粮食销售包装》（GB/T17109）要求，包装袋清洁无污渍、无破损、无渗漏。</w:t>
            </w:r>
          </w:p>
          <w:p>
            <w:pPr>
              <w:pStyle w:val="null3"/>
              <w:ind w:firstLine="422"/>
              <w:jc w:val="both"/>
            </w:pPr>
            <w:r>
              <w:rPr>
                <w:rFonts w:ascii="仿宋_GB2312" w:hAnsi="仿宋_GB2312" w:cs="仿宋_GB2312" w:eastAsia="仿宋_GB2312"/>
                <w:sz w:val="21"/>
                <w:b/>
                <w:color w:val="993300"/>
              </w:rPr>
              <w:t>3.2面粉：</w:t>
            </w:r>
            <w:r>
              <w:rPr>
                <w:rFonts w:ascii="仿宋_GB2312" w:hAnsi="仿宋_GB2312" w:cs="仿宋_GB2312" w:eastAsia="仿宋_GB2312"/>
                <w:sz w:val="21"/>
                <w:color w:val="000000"/>
              </w:rPr>
              <w:t>面粉原料为非转基因小麦粉，质量须符合</w:t>
            </w:r>
            <w:r>
              <w:rPr>
                <w:rFonts w:ascii="仿宋_GB2312" w:hAnsi="仿宋_GB2312" w:cs="仿宋_GB2312" w:eastAsia="仿宋_GB2312"/>
                <w:sz w:val="21"/>
                <w:color w:val="000000"/>
              </w:rPr>
              <w:t>GB1/T 1355-1986《小麦粉》标准中特制一等要求，具有“SC”食品生产许可证。无污染、虫害，色泽、气味、口味正常；无异味、霉味；无虫蛀、结块、挂丝或杂质异物；色泽呈白色或微黄色；外观呈细粉末状，无杂质，手指捻捏时无粗粒感，放开后不成团；具有面粉正常气味，无异味。符合食品安全国家粮食标准GB2715。包装应符合《粮食销售包装》（GB/T17109）要求，包装袋清洁无污渍、无破损、无渗漏。</w:t>
            </w:r>
          </w:p>
          <w:p>
            <w:pPr>
              <w:pStyle w:val="null3"/>
              <w:ind w:firstLine="422"/>
              <w:jc w:val="both"/>
            </w:pPr>
            <w:r>
              <w:rPr>
                <w:rFonts w:ascii="仿宋_GB2312" w:hAnsi="仿宋_GB2312" w:cs="仿宋_GB2312" w:eastAsia="仿宋_GB2312"/>
                <w:sz w:val="21"/>
                <w:b/>
                <w:color w:val="993300"/>
              </w:rPr>
              <w:t>3.3食用油：</w:t>
            </w:r>
            <w:r>
              <w:rPr>
                <w:rFonts w:ascii="仿宋_GB2312" w:hAnsi="仿宋_GB2312" w:cs="仿宋_GB2312" w:eastAsia="仿宋_GB2312"/>
                <w:sz w:val="21"/>
                <w:color w:val="993300"/>
              </w:rPr>
              <w:t>包装要求：独立包装；每桶</w:t>
            </w:r>
            <w:r>
              <w:rPr>
                <w:rFonts w:ascii="仿宋_GB2312" w:hAnsi="仿宋_GB2312" w:cs="仿宋_GB2312" w:eastAsia="仿宋_GB2312"/>
                <w:sz w:val="21"/>
                <w:color w:val="993300"/>
              </w:rPr>
              <w:t>≥10L，非转基因菜籽油，质量</w:t>
            </w:r>
            <w:r>
              <w:rPr>
                <w:rFonts w:ascii="仿宋_GB2312" w:hAnsi="仿宋_GB2312" w:cs="仿宋_GB2312" w:eastAsia="仿宋_GB2312"/>
                <w:sz w:val="21"/>
                <w:color w:val="993300"/>
              </w:rPr>
              <w:t>符合</w:t>
            </w:r>
            <w:r>
              <w:rPr>
                <w:rFonts w:ascii="仿宋_GB2312" w:hAnsi="仿宋_GB2312" w:cs="仿宋_GB2312" w:eastAsia="仿宋_GB2312"/>
                <w:sz w:val="21"/>
                <w:color w:val="993300"/>
              </w:rPr>
              <w:t>GB/T 1536-2021 菜籽油产品质量标准</w:t>
            </w:r>
            <w:r>
              <w:rPr>
                <w:rFonts w:ascii="仿宋_GB2312" w:hAnsi="仿宋_GB2312" w:cs="仿宋_GB2312" w:eastAsia="仿宋_GB2312"/>
                <w:sz w:val="21"/>
                <w:color w:val="993300"/>
              </w:rPr>
              <w:t>，</w:t>
            </w:r>
            <w:r>
              <w:rPr>
                <w:rFonts w:ascii="仿宋_GB2312" w:hAnsi="仿宋_GB2312" w:cs="仿宋_GB2312" w:eastAsia="仿宋_GB2312"/>
                <w:sz w:val="21"/>
                <w:color w:val="993300"/>
              </w:rPr>
              <w:t>不接受菜籽调和油，采取物理压榨工艺生产，不得采用化学浸出工艺生产，质量符合食用油国家一级油标准要求。外包装上必须标明生产日期，保质期，执行标准，储存条件，生产厂家，产地等。</w:t>
            </w:r>
            <w:r>
              <w:rPr>
                <w:rFonts w:ascii="仿宋_GB2312" w:hAnsi="仿宋_GB2312" w:cs="仿宋_GB2312" w:eastAsia="仿宋_GB2312"/>
                <w:sz w:val="21"/>
                <w:color w:val="993300"/>
              </w:rPr>
              <w:t>包装应符合《粮食销售包装》（</w:t>
            </w:r>
            <w:r>
              <w:rPr>
                <w:rFonts w:ascii="仿宋_GB2312" w:hAnsi="仿宋_GB2312" w:cs="仿宋_GB2312" w:eastAsia="仿宋_GB2312"/>
                <w:sz w:val="21"/>
                <w:color w:val="993300"/>
              </w:rPr>
              <w:t>GB/T17109）要求，包装袋清洁无污渍、无破损、无渗漏。</w:t>
            </w:r>
          </w:p>
          <w:p>
            <w:pPr>
              <w:pStyle w:val="null3"/>
              <w:ind w:firstLine="422"/>
              <w:jc w:val="both"/>
            </w:pPr>
            <w:r>
              <w:rPr>
                <w:rFonts w:ascii="仿宋_GB2312" w:hAnsi="仿宋_GB2312" w:cs="仿宋_GB2312" w:eastAsia="仿宋_GB2312"/>
                <w:sz w:val="21"/>
                <w:b/>
              </w:rPr>
              <w:t>3.4干货、调味品及其他类供货：</w:t>
            </w:r>
          </w:p>
          <w:p>
            <w:pPr>
              <w:pStyle w:val="null3"/>
              <w:ind w:firstLine="420"/>
              <w:jc w:val="both"/>
            </w:pPr>
            <w:r>
              <w:rPr>
                <w:rFonts w:ascii="仿宋_GB2312" w:hAnsi="仿宋_GB2312" w:cs="仿宋_GB2312" w:eastAsia="仿宋_GB2312"/>
                <w:sz w:val="21"/>
              </w:rPr>
              <w:t>提供的产品无霉变和虫蛀鼠咬现象，无臭味，货品新鲜，色泽正常。</w:t>
            </w:r>
            <w:r>
              <w:rPr>
                <w:rFonts w:ascii="仿宋_GB2312" w:hAnsi="仿宋_GB2312" w:cs="仿宋_GB2312" w:eastAsia="仿宋_GB2312"/>
                <w:sz w:val="21"/>
              </w:rPr>
              <w:t>外包装无污物、无泄漏，无胀袋或胖听或鼓盖现象，无变质发霉现象。色泽正常，具有该品种固有的香味，滋味无异味，油酱均匀的酱体或无结块的粉状固体，封口平整，无破包，夹包，漏包，无污染。</w:t>
            </w:r>
            <w:r>
              <w:rPr>
                <w:rFonts w:ascii="仿宋_GB2312" w:hAnsi="仿宋_GB2312" w:cs="仿宋_GB2312" w:eastAsia="仿宋_GB2312"/>
                <w:sz w:val="21"/>
              </w:rPr>
              <w:t>无</w:t>
            </w:r>
            <w:r>
              <w:rPr>
                <w:rFonts w:ascii="仿宋_GB2312" w:hAnsi="仿宋_GB2312" w:cs="仿宋_GB2312" w:eastAsia="仿宋_GB2312"/>
                <w:sz w:val="21"/>
              </w:rPr>
              <w:t>“三无”产品，货品在保质期以内，外包装清洁卫生、无破损，包装上的商品名称、厂址、规格、生产日期、质保期等信息与内容物相符，标示清晰，批次号清楚等；经食品检验检疫合格，调料成分符合国家卫生标准。</w:t>
            </w:r>
          </w:p>
          <w:p>
            <w:pPr>
              <w:pStyle w:val="null3"/>
              <w:ind w:firstLine="422"/>
              <w:jc w:val="both"/>
            </w:pPr>
            <w:r>
              <w:rPr>
                <w:rFonts w:ascii="仿宋_GB2312" w:hAnsi="仿宋_GB2312" w:cs="仿宋_GB2312" w:eastAsia="仿宋_GB2312"/>
                <w:sz w:val="21"/>
                <w:b/>
              </w:rPr>
              <w:t>3.5蔬菜类：</w:t>
            </w:r>
          </w:p>
          <w:p>
            <w:pPr>
              <w:pStyle w:val="null3"/>
              <w:ind w:firstLine="420"/>
              <w:jc w:val="both"/>
            </w:pPr>
            <w:r>
              <w:rPr>
                <w:rFonts w:ascii="仿宋_GB2312" w:hAnsi="仿宋_GB2312" w:cs="仿宋_GB2312" w:eastAsia="仿宋_GB2312"/>
                <w:sz w:val="21"/>
              </w:rPr>
              <w:t>提供</w:t>
            </w:r>
            <w:r>
              <w:rPr>
                <w:rFonts w:ascii="仿宋_GB2312" w:hAnsi="仿宋_GB2312" w:cs="仿宋_GB2312" w:eastAsia="仿宋_GB2312"/>
                <w:sz w:val="21"/>
              </w:rPr>
              <w:t>的蔬菜应当是新鲜、青嫩、干净、无腐烂、无杂质、无杂草、无黄叶、无老叶、无浸水</w:t>
            </w:r>
            <w:r>
              <w:rPr>
                <w:rFonts w:ascii="仿宋_GB2312" w:hAnsi="仿宋_GB2312" w:cs="仿宋_GB2312" w:eastAsia="仿宋_GB2312"/>
                <w:sz w:val="21"/>
              </w:rPr>
              <w:t>、</w:t>
            </w:r>
            <w:r>
              <w:rPr>
                <w:rFonts w:ascii="仿宋_GB2312" w:hAnsi="仿宋_GB2312" w:cs="仿宋_GB2312" w:eastAsia="仿宋_GB2312"/>
                <w:sz w:val="21"/>
              </w:rPr>
              <w:t>泡水或注水，青菜类和白菜类的外叶折断时不能有丝相连不断连的现象</w:t>
            </w:r>
            <w:r>
              <w:rPr>
                <w:rFonts w:ascii="仿宋_GB2312" w:hAnsi="仿宋_GB2312" w:cs="仿宋_GB2312" w:eastAsia="仿宋_GB2312"/>
                <w:sz w:val="21"/>
              </w:rPr>
              <w:t>，</w:t>
            </w:r>
            <w:r>
              <w:rPr>
                <w:rFonts w:ascii="仿宋_GB2312" w:hAnsi="仿宋_GB2312" w:cs="仿宋_GB2312" w:eastAsia="仿宋_GB2312"/>
                <w:sz w:val="21"/>
              </w:rPr>
              <w:t>丝瓜、苦瓜等折而易断</w:t>
            </w:r>
            <w:r>
              <w:rPr>
                <w:rFonts w:ascii="仿宋_GB2312" w:hAnsi="仿宋_GB2312" w:cs="仿宋_GB2312" w:eastAsia="仿宋_GB2312"/>
                <w:sz w:val="21"/>
              </w:rPr>
              <w:t>，</w:t>
            </w:r>
            <w:r>
              <w:rPr>
                <w:rFonts w:ascii="仿宋_GB2312" w:hAnsi="仿宋_GB2312" w:cs="仿宋_GB2312" w:eastAsia="仿宋_GB2312"/>
                <w:sz w:val="21"/>
              </w:rPr>
              <w:t>鲜蒜叶子不黄，头部与杆部一般大小相同</w:t>
            </w:r>
            <w:r>
              <w:rPr>
                <w:rFonts w:ascii="仿宋_GB2312" w:hAnsi="仿宋_GB2312" w:cs="仿宋_GB2312" w:eastAsia="仿宋_GB2312"/>
                <w:sz w:val="21"/>
              </w:rPr>
              <w:t>，</w:t>
            </w:r>
            <w:r>
              <w:rPr>
                <w:rFonts w:ascii="仿宋_GB2312" w:hAnsi="仿宋_GB2312" w:cs="仿宋_GB2312" w:eastAsia="仿宋_GB2312"/>
                <w:sz w:val="21"/>
              </w:rPr>
              <w:t>干净、无杂质、无杂草泛指各类蔬菜，特别是根</w:t>
            </w:r>
            <w:r>
              <w:rPr>
                <w:rFonts w:ascii="仿宋_GB2312" w:hAnsi="仿宋_GB2312" w:cs="仿宋_GB2312" w:eastAsia="仿宋_GB2312"/>
                <w:sz w:val="21"/>
              </w:rPr>
              <w:t>(块)茎类的蔬菜不能有泥巴，鲜蒜、香葱、香菜、洋葱等的根部要干净。</w:t>
            </w:r>
          </w:p>
          <w:p>
            <w:pPr>
              <w:pStyle w:val="null3"/>
              <w:ind w:firstLine="420"/>
              <w:jc w:val="both"/>
            </w:pPr>
            <w:r>
              <w:rPr>
                <w:rFonts w:ascii="仿宋_GB2312" w:hAnsi="仿宋_GB2312" w:cs="仿宋_GB2312" w:eastAsia="仿宋_GB2312"/>
                <w:sz w:val="21"/>
              </w:rPr>
              <w:t>蔬菜类需符合国家质量、安全相关标准，农药残留不得超过《食品中农药最大残留限量》（</w:t>
            </w:r>
            <w:r>
              <w:rPr>
                <w:rFonts w:ascii="仿宋_GB2312" w:hAnsi="仿宋_GB2312" w:cs="仿宋_GB2312" w:eastAsia="仿宋_GB2312"/>
                <w:sz w:val="21"/>
              </w:rPr>
              <w:t>GB2763-2021）国家标准，食用后对人体健康不造成危害。</w:t>
            </w:r>
          </w:p>
          <w:p>
            <w:pPr>
              <w:pStyle w:val="null3"/>
              <w:ind w:firstLine="420"/>
              <w:jc w:val="both"/>
            </w:pPr>
            <w:r>
              <w:rPr>
                <w:rFonts w:ascii="仿宋_GB2312" w:hAnsi="仿宋_GB2312" w:cs="仿宋_GB2312" w:eastAsia="仿宋_GB2312"/>
                <w:sz w:val="21"/>
              </w:rPr>
              <w:t>无浸水、泡水或注水</w:t>
            </w:r>
            <w:r>
              <w:rPr>
                <w:rFonts w:ascii="仿宋_GB2312" w:hAnsi="仿宋_GB2312" w:cs="仿宋_GB2312" w:eastAsia="仿宋_GB2312"/>
                <w:sz w:val="21"/>
              </w:rPr>
              <w:t>，</w:t>
            </w:r>
            <w:r>
              <w:rPr>
                <w:rFonts w:ascii="仿宋_GB2312" w:hAnsi="仿宋_GB2312" w:cs="仿宋_GB2312" w:eastAsia="仿宋_GB2312"/>
                <w:sz w:val="21"/>
              </w:rPr>
              <w:t>主要指白菜类</w:t>
            </w:r>
            <w:r>
              <w:rPr>
                <w:rFonts w:ascii="仿宋_GB2312" w:hAnsi="仿宋_GB2312" w:cs="仿宋_GB2312" w:eastAsia="仿宋_GB2312"/>
                <w:sz w:val="21"/>
              </w:rPr>
              <w:t>(含花菜)、鲜菌类及根(块)茎类蔬菜；</w:t>
            </w:r>
          </w:p>
          <w:p>
            <w:pPr>
              <w:pStyle w:val="null3"/>
              <w:ind w:firstLine="420"/>
              <w:jc w:val="both"/>
            </w:pPr>
            <w:r>
              <w:rPr>
                <w:rFonts w:ascii="仿宋_GB2312" w:hAnsi="仿宋_GB2312" w:cs="仿宋_GB2312" w:eastAsia="仿宋_GB2312"/>
                <w:sz w:val="21"/>
              </w:rPr>
              <w:t>净菜率须在</w:t>
            </w:r>
            <w:r>
              <w:rPr>
                <w:rFonts w:ascii="仿宋_GB2312" w:hAnsi="仿宋_GB2312" w:cs="仿宋_GB2312" w:eastAsia="仿宋_GB2312"/>
                <w:sz w:val="21"/>
              </w:rPr>
              <w:t>95%以上。</w:t>
            </w:r>
          </w:p>
          <w:p>
            <w:pPr>
              <w:pStyle w:val="null3"/>
              <w:ind w:firstLine="420"/>
              <w:jc w:val="both"/>
            </w:pPr>
            <w:r>
              <w:rPr>
                <w:rFonts w:ascii="仿宋_GB2312" w:hAnsi="仿宋_GB2312" w:cs="仿宋_GB2312" w:eastAsia="仿宋_GB2312"/>
                <w:sz w:val="21"/>
              </w:rPr>
              <w:t>包装应完好无破漏，无腐败霉变或影响使用的情况，不存在危及人身、财产安全的不合理危险。</w:t>
            </w:r>
          </w:p>
          <w:p>
            <w:pPr>
              <w:pStyle w:val="null3"/>
              <w:ind w:firstLine="422"/>
              <w:jc w:val="both"/>
            </w:pPr>
            <w:r>
              <w:rPr>
                <w:rFonts w:ascii="仿宋_GB2312" w:hAnsi="仿宋_GB2312" w:cs="仿宋_GB2312" w:eastAsia="仿宋_GB2312"/>
                <w:sz w:val="21"/>
                <w:b/>
              </w:rPr>
              <w:t>3.6肉类：</w:t>
            </w:r>
          </w:p>
          <w:p>
            <w:pPr>
              <w:pStyle w:val="null3"/>
              <w:ind w:firstLine="420"/>
              <w:jc w:val="both"/>
            </w:pPr>
            <w:r>
              <w:rPr>
                <w:rFonts w:ascii="仿宋_GB2312" w:hAnsi="仿宋_GB2312" w:cs="仿宋_GB2312" w:eastAsia="仿宋_GB2312"/>
                <w:sz w:val="21"/>
              </w:rPr>
              <w:t>当天送货时必须具备</w:t>
            </w:r>
            <w:r>
              <w:rPr>
                <w:rFonts w:ascii="仿宋_GB2312" w:hAnsi="仿宋_GB2312" w:cs="仿宋_GB2312" w:eastAsia="仿宋_GB2312"/>
                <w:sz w:val="21"/>
              </w:rPr>
              <w:t>“两证两章”，即动物检疫合格证明、肉品品质检验合格证、检疫验讫章和肉品品质检验合格验讫章。</w:t>
            </w:r>
          </w:p>
          <w:p>
            <w:pPr>
              <w:pStyle w:val="null3"/>
              <w:ind w:firstLine="420"/>
              <w:jc w:val="both"/>
            </w:pPr>
            <w:r>
              <w:rPr>
                <w:rFonts w:ascii="仿宋_GB2312" w:hAnsi="仿宋_GB2312" w:cs="仿宋_GB2312" w:eastAsia="仿宋_GB2312"/>
                <w:sz w:val="21"/>
              </w:rPr>
              <w:t>肉品须表皮洁净、膘厚适中、色泽鲜亮、纹理清晰、肉质细腻、无异味、去骨、无毛、按压无水迹，脂肪有其固有色泽，无酸败味，</w:t>
            </w:r>
            <w:r>
              <w:rPr>
                <w:rFonts w:ascii="仿宋_GB2312" w:hAnsi="仿宋_GB2312" w:cs="仿宋_GB2312" w:eastAsia="仿宋_GB2312"/>
                <w:sz w:val="21"/>
              </w:rPr>
              <w:t>根据需要进行了改刀和加工</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预冷排酸时间不低于</w:t>
            </w:r>
            <w:r>
              <w:rPr>
                <w:rFonts w:ascii="仿宋_GB2312" w:hAnsi="仿宋_GB2312" w:cs="仿宋_GB2312" w:eastAsia="仿宋_GB2312"/>
                <w:sz w:val="21"/>
              </w:rPr>
              <w:t>24小时。</w:t>
            </w:r>
            <w:r>
              <w:rPr>
                <w:rFonts w:ascii="仿宋_GB2312" w:hAnsi="仿宋_GB2312" w:cs="仿宋_GB2312" w:eastAsia="仿宋_GB2312"/>
                <w:sz w:val="21"/>
              </w:rPr>
              <w:t>送货时需</w:t>
            </w:r>
            <w:r>
              <w:rPr>
                <w:rFonts w:ascii="仿宋_GB2312" w:hAnsi="仿宋_GB2312" w:cs="仿宋_GB2312" w:eastAsia="仿宋_GB2312"/>
                <w:sz w:val="21"/>
              </w:rPr>
              <w:t>提供合法有效的第三方检测机构出具的兽残检测报告，且兽残符合国家标准；含水率不高于</w:t>
            </w:r>
            <w:r>
              <w:rPr>
                <w:rFonts w:ascii="仿宋_GB2312" w:hAnsi="仿宋_GB2312" w:cs="仿宋_GB2312" w:eastAsia="仿宋_GB2312"/>
                <w:sz w:val="21"/>
              </w:rPr>
              <w:t>77%。</w:t>
            </w:r>
          </w:p>
          <w:p>
            <w:pPr>
              <w:pStyle w:val="null3"/>
              <w:ind w:firstLine="420"/>
              <w:jc w:val="both"/>
            </w:pPr>
            <w:r>
              <w:rPr>
                <w:rFonts w:ascii="仿宋_GB2312" w:hAnsi="仿宋_GB2312" w:cs="仿宋_GB2312" w:eastAsia="仿宋_GB2312"/>
                <w:sz w:val="21"/>
              </w:rPr>
              <w:t>有当地政府部门定点屠宰厂</w:t>
            </w:r>
            <w:r>
              <w:rPr>
                <w:rFonts w:ascii="仿宋_GB2312" w:hAnsi="仿宋_GB2312" w:cs="仿宋_GB2312" w:eastAsia="仿宋_GB2312"/>
                <w:sz w:val="21"/>
              </w:rPr>
              <w:t>“瘦肉精 ”残留检测合格证明和肉品品质检验合格证供</w:t>
            </w:r>
            <w:r>
              <w:rPr>
                <w:rFonts w:ascii="仿宋_GB2312" w:hAnsi="仿宋_GB2312" w:cs="仿宋_GB2312" w:eastAsia="仿宋_GB2312"/>
                <w:sz w:val="21"/>
              </w:rPr>
              <w:t>招标人</w:t>
            </w:r>
            <w:r>
              <w:rPr>
                <w:rFonts w:ascii="仿宋_GB2312" w:hAnsi="仿宋_GB2312" w:cs="仿宋_GB2312" w:eastAsia="仿宋_GB2312"/>
                <w:sz w:val="21"/>
              </w:rPr>
              <w:t>随时抽查。</w:t>
            </w:r>
            <w:r>
              <w:rPr>
                <w:rFonts w:ascii="仿宋_GB2312" w:hAnsi="仿宋_GB2312" w:cs="仿宋_GB2312" w:eastAsia="仿宋_GB2312"/>
                <w:sz w:val="21"/>
              </w:rPr>
              <w:t>产品包装符合要求，且能够提供食材源头追溯证明材料。</w:t>
            </w:r>
          </w:p>
          <w:p>
            <w:pPr>
              <w:pStyle w:val="null3"/>
              <w:ind w:firstLine="422"/>
              <w:jc w:val="both"/>
            </w:pPr>
            <w:r>
              <w:rPr>
                <w:rFonts w:ascii="仿宋_GB2312" w:hAnsi="仿宋_GB2312" w:cs="仿宋_GB2312" w:eastAsia="仿宋_GB2312"/>
                <w:sz w:val="21"/>
                <w:b/>
              </w:rPr>
              <w:t>3.7水果类：</w:t>
            </w:r>
          </w:p>
          <w:p>
            <w:pPr>
              <w:pStyle w:val="null3"/>
              <w:ind w:firstLine="420"/>
              <w:jc w:val="both"/>
            </w:pPr>
            <w:r>
              <w:rPr>
                <w:rFonts w:ascii="仿宋_GB2312" w:hAnsi="仿宋_GB2312" w:cs="仿宋_GB2312" w:eastAsia="仿宋_GB2312"/>
                <w:sz w:val="21"/>
              </w:rPr>
              <w:t>果形完整、质地好、新鲜，无影响消费的腐烂变质；清洁，基本不含可见异物，无坏死斑块，无明显的机械伤，基本无虫害，无冷害，无异常的外部水分，但冷藏取出后的冷凝水除外；无异常气味和味道，发育充分，达到适当的成熟度；带柄时，其长度不能超过</w:t>
            </w:r>
            <w:r>
              <w:rPr>
                <w:rFonts w:ascii="仿宋_GB2312" w:hAnsi="仿宋_GB2312" w:cs="仿宋_GB2312" w:eastAsia="仿宋_GB2312"/>
                <w:sz w:val="21"/>
              </w:rPr>
              <w:t>1cm。</w:t>
            </w:r>
          </w:p>
          <w:p>
            <w:pPr>
              <w:pStyle w:val="null3"/>
              <w:ind w:firstLine="420"/>
              <w:jc w:val="both"/>
            </w:pPr>
            <w:r>
              <w:rPr>
                <w:rFonts w:ascii="仿宋_GB2312" w:hAnsi="仿宋_GB2312" w:cs="仿宋_GB2312" w:eastAsia="仿宋_GB2312"/>
                <w:sz w:val="21"/>
              </w:rPr>
              <w:t>包装应完好无破漏，可视的内容物无腐败霉变或影响使用的变型，不存在危及人身、财产安全的不合理危险。</w:t>
            </w:r>
          </w:p>
          <w:p>
            <w:pPr>
              <w:pStyle w:val="null3"/>
              <w:ind w:firstLine="422"/>
              <w:jc w:val="both"/>
            </w:pPr>
            <w:r>
              <w:rPr>
                <w:rFonts w:ascii="仿宋_GB2312" w:hAnsi="仿宋_GB2312" w:cs="仿宋_GB2312" w:eastAsia="仿宋_GB2312"/>
                <w:sz w:val="21"/>
                <w:b/>
              </w:rPr>
              <w:t>3.8禽蛋类：</w:t>
            </w:r>
          </w:p>
          <w:p>
            <w:pPr>
              <w:pStyle w:val="null3"/>
              <w:ind w:firstLine="420"/>
              <w:jc w:val="both"/>
            </w:pPr>
            <w:r>
              <w:rPr>
                <w:rFonts w:ascii="仿宋_GB2312" w:hAnsi="仿宋_GB2312" w:cs="仿宋_GB2312" w:eastAsia="仿宋_GB2312"/>
                <w:sz w:val="21"/>
              </w:rPr>
              <w:t>禽蛋应符合国家相关质量标准，蛋壳清洁完整，色泽鲜明，无破损、裂纹，无霉斑，灯光透视时，整个蛋呈桔黄色至橙红色，蛋黄不见或略见阴影，没有霉味、酸味，臭味等不良气味，打开后蛋黄凸起、完整、有韧性，蛋白澄清、透明、稀稠分明，无异味。</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包装应完好无破漏，可视的内容物无腐败霉变或影响使用的变型，不存在危及人身、财产安全的不合理危险。</w:t>
            </w:r>
          </w:p>
          <w:p>
            <w:pPr>
              <w:pStyle w:val="null3"/>
              <w:ind w:firstLine="422"/>
              <w:jc w:val="both"/>
            </w:pPr>
            <w:r>
              <w:rPr>
                <w:rFonts w:ascii="仿宋_GB2312" w:hAnsi="仿宋_GB2312" w:cs="仿宋_GB2312" w:eastAsia="仿宋_GB2312"/>
                <w:sz w:val="21"/>
                <w:b/>
              </w:rPr>
              <w:t>3.9水产品类：</w:t>
            </w:r>
          </w:p>
          <w:p>
            <w:pPr>
              <w:pStyle w:val="null3"/>
              <w:ind w:firstLine="420"/>
              <w:jc w:val="both"/>
            </w:pPr>
            <w:r>
              <w:rPr>
                <w:rFonts w:ascii="仿宋_GB2312" w:hAnsi="仿宋_GB2312" w:cs="仿宋_GB2312" w:eastAsia="仿宋_GB2312"/>
                <w:sz w:val="21"/>
              </w:rPr>
              <w:t>鲜活水产食材包括但不限于鱼类、贝类、虾类和蟹类等水域生物。这些产品应当具备以下特征：</w:t>
            </w:r>
          </w:p>
          <w:p>
            <w:pPr>
              <w:pStyle w:val="null3"/>
              <w:ind w:firstLine="420"/>
              <w:jc w:val="both"/>
            </w:pPr>
            <w:r>
              <w:rPr>
                <w:rFonts w:ascii="仿宋_GB2312" w:hAnsi="仿宋_GB2312" w:cs="仿宋_GB2312" w:eastAsia="仿宋_GB2312"/>
                <w:sz w:val="21"/>
              </w:rPr>
              <w:t>外观：产品应外表鲜艳、无任何损伤或污染。</w:t>
            </w:r>
          </w:p>
          <w:p>
            <w:pPr>
              <w:pStyle w:val="null3"/>
              <w:ind w:firstLine="420"/>
              <w:jc w:val="both"/>
            </w:pPr>
            <w:r>
              <w:rPr>
                <w:rFonts w:ascii="仿宋_GB2312" w:hAnsi="仿宋_GB2312" w:cs="仿宋_GB2312" w:eastAsia="仿宋_GB2312"/>
                <w:sz w:val="21"/>
              </w:rPr>
              <w:t>气味：产品应释放出新鲜自然的气味，无异味。</w:t>
            </w:r>
          </w:p>
          <w:p>
            <w:pPr>
              <w:pStyle w:val="null3"/>
              <w:ind w:firstLine="420"/>
              <w:jc w:val="both"/>
            </w:pPr>
            <w:r>
              <w:rPr>
                <w:rFonts w:ascii="仿宋_GB2312" w:hAnsi="仿宋_GB2312" w:cs="仿宋_GB2312" w:eastAsia="仿宋_GB2312"/>
                <w:sz w:val="21"/>
              </w:rPr>
              <w:t>新鲜度：产品应为新鲜采购或存放，以保持良好的风味和营养成分。</w:t>
            </w:r>
            <w:r>
              <w:rPr>
                <w:rFonts w:ascii="仿宋_GB2312" w:hAnsi="仿宋_GB2312" w:cs="仿宋_GB2312" w:eastAsia="仿宋_GB2312"/>
                <w:sz w:val="21"/>
              </w:rPr>
              <w:t>鱼眼突出，角膜清晰透明；体表面色泽鲜明，鳞完整或稍有花鳞，鳞片紧粘皮上不易剥落，有透明粘液；鳃鲜红，鳃丝鲜红或紫红，鳃盖禁闭易揭开，肉质坚实，有弹性，骨肉不分离；淡水鱼实行活鱼供应，具有鲜鱼固有的鲜明色泽，粘度透明。</w:t>
            </w:r>
          </w:p>
          <w:p>
            <w:pPr>
              <w:pStyle w:val="null3"/>
              <w:ind w:firstLine="420"/>
              <w:jc w:val="both"/>
            </w:pPr>
            <w:r>
              <w:rPr>
                <w:rFonts w:ascii="仿宋_GB2312" w:hAnsi="仿宋_GB2312" w:cs="仿宋_GB2312" w:eastAsia="仿宋_GB2312"/>
                <w:sz w:val="21"/>
              </w:rPr>
              <w:t>包装应完好无破漏，可视的内容物无腐败霉变或影响使用的变型，不存在危及人身、财产安全的不合理危险。</w:t>
            </w:r>
          </w:p>
          <w:p>
            <w:pPr>
              <w:pStyle w:val="null3"/>
              <w:ind w:firstLine="422"/>
              <w:jc w:val="both"/>
            </w:pPr>
            <w:r>
              <w:rPr>
                <w:rFonts w:ascii="仿宋_GB2312" w:hAnsi="仿宋_GB2312" w:cs="仿宋_GB2312" w:eastAsia="仿宋_GB2312"/>
                <w:sz w:val="21"/>
                <w:b/>
              </w:rPr>
              <w:t>3.10豆制品类：</w:t>
            </w:r>
          </w:p>
          <w:p>
            <w:pPr>
              <w:pStyle w:val="null3"/>
              <w:ind w:firstLine="420"/>
              <w:jc w:val="both"/>
            </w:pPr>
            <w:r>
              <w:rPr>
                <w:rFonts w:ascii="仿宋_GB2312" w:hAnsi="仿宋_GB2312" w:cs="仿宋_GB2312" w:eastAsia="仿宋_GB2312"/>
                <w:sz w:val="21"/>
              </w:rPr>
              <w:t>根据招标人需求提供</w:t>
            </w:r>
            <w:r>
              <w:rPr>
                <w:rFonts w:ascii="仿宋_GB2312" w:hAnsi="仿宋_GB2312" w:cs="仿宋_GB2312" w:eastAsia="仿宋_GB2312"/>
                <w:sz w:val="21"/>
              </w:rPr>
              <w:t>包括但不限于</w:t>
            </w:r>
            <w:r>
              <w:rPr>
                <w:rFonts w:ascii="仿宋_GB2312" w:hAnsi="仿宋_GB2312" w:cs="仿宋_GB2312" w:eastAsia="仿宋_GB2312"/>
                <w:sz w:val="21"/>
              </w:rPr>
              <w:t>豆腐、豆腐干、绿豆芽、黄豆芽等；</w:t>
            </w:r>
          </w:p>
          <w:p>
            <w:pPr>
              <w:pStyle w:val="null3"/>
              <w:ind w:firstLine="420"/>
              <w:jc w:val="both"/>
            </w:pPr>
            <w:r>
              <w:rPr>
                <w:rFonts w:ascii="仿宋_GB2312" w:hAnsi="仿宋_GB2312" w:cs="仿宋_GB2312" w:eastAsia="仿宋_GB2312"/>
                <w:sz w:val="21"/>
              </w:rPr>
              <w:t>提供的食材须保证食材干净、不含非食品用化学物质、按统一标准加工、码放整齐、无须二次处理可以直接进行熟加工。</w:t>
            </w:r>
          </w:p>
          <w:p>
            <w:pPr>
              <w:pStyle w:val="null3"/>
              <w:ind w:firstLine="420"/>
              <w:jc w:val="both"/>
            </w:pPr>
            <w:r>
              <w:rPr>
                <w:rFonts w:ascii="仿宋_GB2312" w:hAnsi="仿宋_GB2312" w:cs="仿宋_GB2312" w:eastAsia="仿宋_GB2312"/>
                <w:sz w:val="21"/>
              </w:rPr>
              <w:t>质量须符合</w:t>
            </w:r>
            <w:r>
              <w:rPr>
                <w:rFonts w:ascii="仿宋_GB2312" w:hAnsi="仿宋_GB2312" w:cs="仿宋_GB2312" w:eastAsia="仿宋_GB2312"/>
                <w:sz w:val="21"/>
              </w:rPr>
              <w:t>国家标准</w:t>
            </w:r>
            <w:r>
              <w:rPr>
                <w:rFonts w:ascii="仿宋_GB2312" w:hAnsi="仿宋_GB2312" w:cs="仿宋_GB2312" w:eastAsia="仿宋_GB2312"/>
                <w:sz w:val="21"/>
              </w:rPr>
              <w:t>GB 2712-2014 食品安全国家标准 豆制品、</w:t>
            </w:r>
            <w:r>
              <w:rPr>
                <w:rFonts w:ascii="仿宋_GB2312" w:hAnsi="仿宋_GB2312" w:cs="仿宋_GB2312" w:eastAsia="仿宋_GB2312"/>
                <w:sz w:val="21"/>
              </w:rPr>
              <w:t>GB/T 22106-2008 非发酵豆制品的要</w:t>
            </w:r>
            <w:r>
              <w:rPr>
                <w:rFonts w:ascii="仿宋_GB2312" w:hAnsi="仿宋_GB2312" w:cs="仿宋_GB2312" w:eastAsia="仿宋_GB2312"/>
                <w:sz w:val="21"/>
              </w:rPr>
              <w:t>求</w:t>
            </w:r>
            <w:r>
              <w:rPr>
                <w:rFonts w:ascii="仿宋_GB2312" w:hAnsi="仿宋_GB2312" w:cs="仿宋_GB2312" w:eastAsia="仿宋_GB2312"/>
                <w:sz w:val="21"/>
              </w:rPr>
              <w:t>及其他相关豆制品类国家标准。</w:t>
            </w:r>
          </w:p>
          <w:p>
            <w:pPr>
              <w:pStyle w:val="null3"/>
              <w:ind w:firstLine="420"/>
              <w:jc w:val="both"/>
            </w:pPr>
            <w:r>
              <w:rPr>
                <w:rFonts w:ascii="仿宋_GB2312" w:hAnsi="仿宋_GB2312" w:cs="仿宋_GB2312" w:eastAsia="仿宋_GB2312"/>
                <w:sz w:val="21"/>
              </w:rPr>
              <w:t>包装应完好无破漏，可视的内容物无腐败霉变或影响使用的变型，不存在危及人身、财产安全的不合理危险。</w:t>
            </w:r>
          </w:p>
          <w:p>
            <w:pPr>
              <w:pStyle w:val="null3"/>
              <w:ind w:firstLine="422"/>
              <w:jc w:val="both"/>
            </w:pPr>
            <w:r>
              <w:rPr>
                <w:rFonts w:ascii="仿宋_GB2312" w:hAnsi="仿宋_GB2312" w:cs="仿宋_GB2312" w:eastAsia="仿宋_GB2312"/>
                <w:sz w:val="21"/>
                <w:b/>
              </w:rPr>
              <w:t>3.11冻货类：</w:t>
            </w:r>
          </w:p>
          <w:p>
            <w:pPr>
              <w:pStyle w:val="null3"/>
              <w:ind w:firstLine="420"/>
              <w:jc w:val="both"/>
            </w:pPr>
            <w:r>
              <w:rPr>
                <w:rFonts w:ascii="仿宋_GB2312" w:hAnsi="仿宋_GB2312" w:cs="仿宋_GB2312" w:eastAsia="仿宋_GB2312"/>
                <w:sz w:val="21"/>
              </w:rPr>
              <w:t>供应商提供的冻货产品应符合国家相关质量标准和卫生标准，保证产品新鲜、无异味、无变质。提供的产品</w:t>
            </w:r>
            <w:r>
              <w:rPr>
                <w:rFonts w:ascii="仿宋_GB2312" w:hAnsi="仿宋_GB2312" w:cs="仿宋_GB2312" w:eastAsia="仿宋_GB2312"/>
                <w:sz w:val="21"/>
              </w:rPr>
              <w:t>箱（袋）内无杂质，无破损，无漏气；箱头有生产企业名称，厂址、电话、生产日期，保质期；内包装有聚乙烯薄膜内衬或内包装袋。</w:t>
            </w:r>
          </w:p>
          <w:p>
            <w:pPr>
              <w:pStyle w:val="null3"/>
              <w:ind w:firstLine="420"/>
              <w:jc w:val="both"/>
            </w:pPr>
            <w:r>
              <w:rPr>
                <w:rFonts w:ascii="仿宋_GB2312" w:hAnsi="仿宋_GB2312" w:cs="仿宋_GB2312" w:eastAsia="仿宋_GB2312"/>
                <w:sz w:val="21"/>
              </w:rPr>
              <w:t>冻货</w:t>
            </w:r>
            <w:r>
              <w:rPr>
                <w:rFonts w:ascii="仿宋_GB2312" w:hAnsi="仿宋_GB2312" w:cs="仿宋_GB2312" w:eastAsia="仿宋_GB2312"/>
                <w:sz w:val="21"/>
              </w:rPr>
              <w:t>的感官和品质、组织状态、色泽、气味及产品规格等</w:t>
            </w:r>
            <w:r>
              <w:rPr>
                <w:rFonts w:ascii="仿宋_GB2312" w:hAnsi="仿宋_GB2312" w:cs="仿宋_GB2312" w:eastAsia="仿宋_GB2312"/>
                <w:sz w:val="21"/>
              </w:rPr>
              <w:t>符合要求，</w:t>
            </w:r>
            <w:r>
              <w:rPr>
                <w:rFonts w:ascii="仿宋_GB2312" w:hAnsi="仿宋_GB2312" w:cs="仿宋_GB2312" w:eastAsia="仿宋_GB2312"/>
                <w:sz w:val="21"/>
              </w:rPr>
              <w:t>解冻损失率不大于</w:t>
            </w:r>
            <w:r>
              <w:rPr>
                <w:rFonts w:ascii="仿宋_GB2312" w:hAnsi="仿宋_GB2312" w:cs="仿宋_GB2312" w:eastAsia="仿宋_GB2312"/>
                <w:sz w:val="21"/>
              </w:rPr>
              <w:t>5 %，预煮制出成率不小于 60 %。</w:t>
            </w:r>
          </w:p>
          <w:p>
            <w:pPr>
              <w:pStyle w:val="null3"/>
              <w:ind w:firstLine="420"/>
              <w:jc w:val="both"/>
            </w:pPr>
            <w:r>
              <w:rPr>
                <w:rFonts w:ascii="仿宋_GB2312" w:hAnsi="仿宋_GB2312" w:cs="仿宋_GB2312" w:eastAsia="仿宋_GB2312"/>
                <w:sz w:val="21"/>
              </w:rPr>
              <w:t>包装箱（袋）必须按照</w:t>
            </w:r>
            <w:r>
              <w:rPr>
                <w:rFonts w:ascii="仿宋_GB2312" w:hAnsi="仿宋_GB2312" w:cs="仿宋_GB2312" w:eastAsia="仿宋_GB2312"/>
                <w:sz w:val="21"/>
              </w:rPr>
              <w:t>GB 7718中要求标明产品的食品名称、净含量和规格、生产者和（或）经销者的名称、地址和联系方式、生产日期和保质期、贮存条件、食品生产许可证编号、产品标准代号及其他需要标示的内容等。</w:t>
            </w:r>
          </w:p>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正规的进货渠道证明文件，且配送食品剩余保质期不少于质保期三分之二。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供应商提供的配送车辆及工具应清洁卫生无污染，食品运输必须采用符合卫生标准的外包装和运载工具，并且要保持清洁和定期消毒。 本项目在配送中如有短缺、规格质量不符、资料不全等，由供应商在当日内无偿给予更换、补齐，并承担由此产生的全部费用。对于不符规格要求、以次充好、质量问题等现象，采购人有权退货，供应商必须无条件退换，并保证正常就餐。 供应商必须自行提供配送服务，不得将配送项目进行任何方式的转包、分包。</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1.每日配送的食材根据采购人需求用量及库存条件，按采购人要求配送，供应商须在配送前一天做出响应，如有某些菜品出现市场断档，应及时告知采购人。 2.定价机制：采购人根据西安市农业农村局相近日期(周一至周五)公布的价格行情中零售市场每个市场及品目的平均价格以及各个供应市场的食材价格、大型超市食材价格作为合同履行中每阶段食材价格定价依据，此价格行情中没有的品目以采购人及供应商共同确定的的市场询价为依据，按实际发生的量进行据实结算。 3.配送要求：供应商应按照采购人要求的配送清单按照规定时间将所需产品送至采购人指定地点，如采购人遇到紧急情况需要紧急配送的，供应商应保证紧急情况食材的供应。 4.严格按照采购人要求配送，因运输装卸过程中造成的损耗（例如包装严重变形、破损，食品污损、腐败变质等），发现的破损、腐败变质等食品必须无条件更换，并不附加任何费用。 5.由采购人对供应商提供的食材不定期进行抽样检查。 6.一旦发生食物中毒或疑似食物中毒事故，应及时提供留样样品，配合卫生监督机构进行调查处理工作，不得有留样样品而不提供或提供不真实的留样样品，影响或干扰事故的调查处理工作。若因成交供应商原因造成的食物中毒事故，采购人有权终止合同，一切后果由成交供应商负责。</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乙方每次随货送上一式二份的送货清单，甲方指派专人接收、称重并验收菜品质量；验收合格后由甲方指定验收员签字核认，作为结算凭证。对不符合质量的品种，甲方有权退、换货。货品验收合格后签收。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按月据实结算，乙方在接受甲方的每一笔付款前，应向甲方开具相应金额的发票。 结算价格：当月甲方签字确认的供货单×（1-优惠率）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供应商特定资格证明文件.docx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供应商具有有效的《食品经营许可证》，供应商需在项目电子化交易系统中按要求上传相应证明文件并进行电子签章；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供应商特定资格证明文件.docx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供应商提供2022年1月1日至今类似项目业绩，以合同签订时间为准，每提供一份合同计2分，最高计10分。（须提供完整合同复印件并加盖供应商公章，否则不计分）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供应商针对本项目提供售后服务方案，包括但不限于：①售后服务人员配置、②响应时间、③产品退换货措施、④用户反馈及调整措施。 a.售后服务方案全面具体、科学合理、可行性强的得6分； b.售后服务方案基本全面、基本合理、基本可行的得4分； c.售后服务方案缺少关键点、不完善、不可行性的得2分； d.未提供售后服务方案或完全脱离项目实际的得0分。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包含但不限于：①承诺派专人负责项目售后服务事宜，实行“三包”服务（即包质量、包数量、包调换）、②处理问题及时、沟通交流渠道畅通、③因存在质量问题或因质量原因发生的食品安全事故，生产企业主要负责人和相关主管人员必须到现场指导、处理、④在履行本项目的全部过程中，凡出现因质量或配送运输引发的安全事故，供应商将承担全部法律责任和赔偿所有经济损失等。 a.服务承诺完整、详细，科学、合理、可行的得6分； b.服务承诺较完整、详细，合理性，可行性一般的得4分； c.服务承诺不够完整，可行性不高的计2分； d.未提供服务承诺或完全脱离项目实际的得0分。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供应商针对本项目服务内容及要求提供整体服务方案，包含但不限于：①服务理念及目标、②服务流程、③组织机构、④质量标准、⑤验收方案等。 a.服务方案全面具体、针对性强、质量标准明确、可操作及可行性强、能完全满足本项目采购所需的得10分； b.服务方案较为全面、针对性较好、质量标准较明确、可操作及可行性良好、能确保采购所需的得8分； c.服务方案不全面、针对性一般、质量标准不够明确、可操作及可行性一般，需优化后能满足基本采购所需的得6分； d.服务方案简单有漏项、无针对性、无质量标准或质量标准不明确、可操作及可行性差，不能满足采购所需的得4分； e.未提供整体服务方案或整体服务方案完全脱离项目实际的得0分。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磋商响应方案-整体服务方案.docx</w:t>
            </w:r>
          </w:p>
        </w:tc>
      </w:tr>
      <w:tr>
        <w:tc>
          <w:tcPr>
            <w:tcW w:type="dxa" w:w="831"/>
            <w:vMerge/>
          </w:tcPr>
          <w:p/>
        </w:tc>
        <w:tc>
          <w:tcPr>
            <w:tcW w:type="dxa" w:w="1661"/>
          </w:tcPr>
          <w:p>
            <w:pPr>
              <w:pStyle w:val="null3"/>
            </w:pPr>
            <w:r>
              <w:rPr>
                <w:rFonts w:ascii="仿宋_GB2312" w:hAnsi="仿宋_GB2312" w:cs="仿宋_GB2312" w:eastAsia="仿宋_GB2312"/>
              </w:rPr>
              <w:t>管理措施及管理制度</w:t>
            </w:r>
          </w:p>
        </w:tc>
        <w:tc>
          <w:tcPr>
            <w:tcW w:type="dxa" w:w="2492"/>
          </w:tcPr>
          <w:p>
            <w:pPr>
              <w:pStyle w:val="null3"/>
            </w:pPr>
            <w:r>
              <w:rPr>
                <w:rFonts w:ascii="仿宋_GB2312" w:hAnsi="仿宋_GB2312" w:cs="仿宋_GB2312" w:eastAsia="仿宋_GB2312"/>
              </w:rPr>
              <w:t>供应商针对本项目提供管理制度，包含但不限于：①岗位制度及职责、②内控制度、③配送安全制度、④食材质量安全管理制度等。 a.制度及措施完整全面、科学合理、针对性强、可操作及可行性高，完全满足采购要求的10分； b.制度及措施较为全面、具有一定的合理性、可操作及可行性良好，较能满足采购所需的得8分； c.制度及措施不全面、合理性、针对性一般，可操作及可行性一般，需优化后能满足基本采购所需的得6分； d.制度及措施简单有漏项、无合理性、针对性，不能满足采购所需的得4分； e.未提供制度及措施或制度及措施完全脱离采购实际的得0分。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磋商响应方案-管理措施及管理制度.docx</w:t>
            </w:r>
          </w:p>
        </w:tc>
      </w:tr>
      <w:tr>
        <w:tc>
          <w:tcPr>
            <w:tcW w:type="dxa" w:w="831"/>
            <w:vMerge/>
          </w:tcPr>
          <w:p/>
        </w:tc>
        <w:tc>
          <w:tcPr>
            <w:tcW w:type="dxa" w:w="1661"/>
          </w:tcPr>
          <w:p>
            <w:pPr>
              <w:pStyle w:val="null3"/>
            </w:pPr>
            <w:r>
              <w:rPr>
                <w:rFonts w:ascii="仿宋_GB2312" w:hAnsi="仿宋_GB2312" w:cs="仿宋_GB2312" w:eastAsia="仿宋_GB2312"/>
              </w:rPr>
              <w:t>食材原材料仓储能力</w:t>
            </w:r>
          </w:p>
        </w:tc>
        <w:tc>
          <w:tcPr>
            <w:tcW w:type="dxa" w:w="2492"/>
          </w:tcPr>
          <w:p>
            <w:pPr>
              <w:pStyle w:val="null3"/>
            </w:pPr>
            <w:r>
              <w:rPr>
                <w:rFonts w:ascii="仿宋_GB2312" w:hAnsi="仿宋_GB2312" w:cs="仿宋_GB2312" w:eastAsia="仿宋_GB2312"/>
              </w:rPr>
              <w:t>供应商具有专门的食材原材料仓储场地，需提供仓储场地证明材料：①购买合同或租赁合同、②场地照片、③场地说明。 供应商能提供全部场地证明材料及说明的，且真实有效的得6分；缺少一项证明材料的减2分，扣完为止。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磋商响应方案-食材原材料仓储能力.docx</w:t>
            </w:r>
          </w:p>
        </w:tc>
      </w:tr>
      <w:tr>
        <w:tc>
          <w:tcPr>
            <w:tcW w:type="dxa" w:w="831"/>
            <w:vMerge/>
          </w:tcPr>
          <w:p/>
        </w:tc>
        <w:tc>
          <w:tcPr>
            <w:tcW w:type="dxa" w:w="1661"/>
          </w:tcPr>
          <w:p>
            <w:pPr>
              <w:pStyle w:val="null3"/>
            </w:pPr>
            <w:r>
              <w:rPr>
                <w:rFonts w:ascii="仿宋_GB2312" w:hAnsi="仿宋_GB2312" w:cs="仿宋_GB2312" w:eastAsia="仿宋_GB2312"/>
              </w:rPr>
              <w:t>人员团队</w:t>
            </w:r>
          </w:p>
        </w:tc>
        <w:tc>
          <w:tcPr>
            <w:tcW w:type="dxa" w:w="2492"/>
          </w:tcPr>
          <w:p>
            <w:pPr>
              <w:pStyle w:val="null3"/>
            </w:pPr>
            <w:r>
              <w:rPr>
                <w:rFonts w:ascii="仿宋_GB2312" w:hAnsi="仿宋_GB2312" w:cs="仿宋_GB2312" w:eastAsia="仿宋_GB2312"/>
              </w:rPr>
              <w:t>供应商针对本项目拟投入的人员团队配置，须提供1.人员身份证、2.健康证、3.劳动合同或社保证明材料。 每提供一个合法有效的人员信息及证明材料计2分，最高得10分。未提供证明材料或证明材料不全不计分。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磋商响应方案-人员团队.docx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供应商针对本项目要求提供配送方案，包括但不限于：①食材调配方案、②配送流程、③配送管理、④配送车辆保障方案等。 a.配送方案清晰，内容全面，科学合理，完全满足采购要求的得6分； b.配送方案不够清晰，内容不够全面，不够科学，基本满足采购要求的得4分； c.配送方案不清晰，内容简单有缺项，不合理，不能满足采购要求的得2分； d.未提供配送方案或配送方案完全脱离项目实际需求的得0分。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磋商响应方案-配送方案.docx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供应商针对本项目提供合法有效的配送车辆。须提供①车辆照片、②机动车行驶证、③若为租赁车辆的还须提供租赁合同、④车辆保险证明，每提供一辆合法有效的车辆信息计2.5分，最高计5分。证明材料缺项或证明材料有效期不符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磋商响应方案-配送车辆.docx</w:t>
            </w:r>
          </w:p>
        </w:tc>
      </w:tr>
      <w:tr>
        <w:tc>
          <w:tcPr>
            <w:tcW w:type="dxa" w:w="831"/>
            <w:vMerge/>
          </w:tcPr>
          <w:p/>
        </w:tc>
        <w:tc>
          <w:tcPr>
            <w:tcW w:type="dxa" w:w="1661"/>
          </w:tcPr>
          <w:p>
            <w:pPr>
              <w:pStyle w:val="null3"/>
            </w:pPr>
            <w:r>
              <w:rPr>
                <w:rFonts w:ascii="仿宋_GB2312" w:hAnsi="仿宋_GB2312" w:cs="仿宋_GB2312" w:eastAsia="仿宋_GB2312"/>
              </w:rPr>
              <w:t>供货能力</w:t>
            </w:r>
          </w:p>
        </w:tc>
        <w:tc>
          <w:tcPr>
            <w:tcW w:type="dxa" w:w="2492"/>
          </w:tcPr>
          <w:p>
            <w:pPr>
              <w:pStyle w:val="null3"/>
            </w:pPr>
            <w:r>
              <w:rPr>
                <w:rFonts w:ascii="仿宋_GB2312" w:hAnsi="仿宋_GB2312" w:cs="仿宋_GB2312" w:eastAsia="仿宋_GB2312"/>
              </w:rPr>
              <w:t>供应商提供的食材供应需保证渠道正规、稳定且质量有保证，符合国家相关的质量标准和食品卫生安全要求，能提供产品的来源渠道证明，每提供1份有效的来源渠道证明材料得1分，最高得5分，未提供不计分。 （备注：来源渠道证明材料包含但不限于供应商与食材生产厂家（或经销商）具有合作供货协议或授权书、与上游供货商的合作协议。合作协议、授权书中应体现供应商名称。否则不计分。）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磋商响应方案-供货能力.docx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供应商对本项目具有质量保证措施，能充分保障后续服务的质量，包含但不限于：①食材采购质量保证措施、②具有食材检测报告质量保证、③不符合质量标准货品处置措施、④配送时效保证措施等。 a.质量保证措施涵盖全面，针对性强，检测报告合法有效，能完全保证后续服务质量的得8分； b.质量保证措施基本全面，针对性较强，检测报告合法有效，基本能保证后续服务质量的得6分； c.质量保证措施不全面有漏项，针对性一般，无检测报告或检测报告较少，很难保证后续服务质量的得4分； d.未提供质量保证措施或质量保证措施完全脱离采购实际的得0分。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磋商响应方案-质量保证.docx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供应商针对本项目提供具体的应急预案，包括但不限于：①针对运输车辆临时故障、②配送过程中遭遇极端天气、③原定配送人员缺勤、④采购人临时提出食材采购需求的应对方案等。 a.应急预案完备健全，科学性强、合理性强、可行性强的计8分； b.应急预案完备程度一般，方案合理性一般、可行性低或需要优化后才能基本满足项目需要的计6分； c.应急预案不完整，措施简单，无针对性，不能满足项目需求计4分； d.未提供应急措施或应急措施完全脱离项目实际的得0分。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磋商响应方案-应急预案.docx</w:t>
            </w:r>
          </w:p>
          <w:p>
            <w:pPr>
              <w:pStyle w:val="null3"/>
            </w:pPr>
            <w:r>
              <w:rPr>
                <w:rFonts w:ascii="仿宋_GB2312" w:hAnsi="仿宋_GB2312" w:cs="仿宋_GB2312" w:eastAsia="仿宋_GB2312"/>
              </w:rPr>
              <w:t>供应商需要说明的其他内容.docx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采用低价（即：1-优惠率）优先法计算，即满足磋商文件要求且磋商报价（1-优惠率）最低的磋商报价为评标基准价，其价格分为满分。 其他供应商的价格分统一按照下列公式计算： 磋商报价得分=评标基准价/（1-优惠率）×10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详见附件：磋商响应方案-整体服务方案.docx</w:t>
      </w:r>
    </w:p>
    <w:p>
      <w:pPr>
        <w:pStyle w:val="null3"/>
        <w:ind w:firstLine="960"/>
      </w:pPr>
      <w:r>
        <w:rPr>
          <w:rFonts w:ascii="仿宋_GB2312" w:hAnsi="仿宋_GB2312" w:cs="仿宋_GB2312" w:eastAsia="仿宋_GB2312"/>
        </w:rPr>
        <w:t>详见附件：磋商响应方案-管理措施及管理制度.docx</w:t>
      </w:r>
    </w:p>
    <w:p>
      <w:pPr>
        <w:pStyle w:val="null3"/>
        <w:ind w:firstLine="960"/>
      </w:pPr>
      <w:r>
        <w:rPr>
          <w:rFonts w:ascii="仿宋_GB2312" w:hAnsi="仿宋_GB2312" w:cs="仿宋_GB2312" w:eastAsia="仿宋_GB2312"/>
        </w:rPr>
        <w:t>详见附件：磋商响应方案-质量保证.docx</w:t>
      </w:r>
    </w:p>
    <w:p>
      <w:pPr>
        <w:pStyle w:val="null3"/>
        <w:ind w:firstLine="960"/>
      </w:pPr>
      <w:r>
        <w:rPr>
          <w:rFonts w:ascii="仿宋_GB2312" w:hAnsi="仿宋_GB2312" w:cs="仿宋_GB2312" w:eastAsia="仿宋_GB2312"/>
        </w:rPr>
        <w:t>详见附件：磋商响应方案-配送方案.docx</w:t>
      </w:r>
    </w:p>
    <w:p>
      <w:pPr>
        <w:pStyle w:val="null3"/>
        <w:ind w:firstLine="960"/>
      </w:pPr>
      <w:r>
        <w:rPr>
          <w:rFonts w:ascii="仿宋_GB2312" w:hAnsi="仿宋_GB2312" w:cs="仿宋_GB2312" w:eastAsia="仿宋_GB2312"/>
        </w:rPr>
        <w:t>详见附件：磋商响应方案-售后服务.docx</w:t>
      </w:r>
    </w:p>
    <w:p>
      <w:pPr>
        <w:pStyle w:val="null3"/>
        <w:ind w:firstLine="960"/>
      </w:pPr>
      <w:r>
        <w:rPr>
          <w:rFonts w:ascii="仿宋_GB2312" w:hAnsi="仿宋_GB2312" w:cs="仿宋_GB2312" w:eastAsia="仿宋_GB2312"/>
        </w:rPr>
        <w:t>详见附件：磋商响应方案-应急预案.docx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详见附件：磋商响应方案-人员团队.docx</w:t>
      </w:r>
    </w:p>
    <w:p>
      <w:pPr>
        <w:pStyle w:val="null3"/>
        <w:ind w:firstLine="960"/>
      </w:pPr>
      <w:r>
        <w:rPr>
          <w:rFonts w:ascii="仿宋_GB2312" w:hAnsi="仿宋_GB2312" w:cs="仿宋_GB2312" w:eastAsia="仿宋_GB2312"/>
        </w:rPr>
        <w:t>详见附件：磋商响应方案-配送车辆.docx</w:t>
      </w:r>
    </w:p>
    <w:p>
      <w:pPr>
        <w:pStyle w:val="null3"/>
        <w:ind w:firstLine="960"/>
      </w:pPr>
      <w:r>
        <w:rPr>
          <w:rFonts w:ascii="仿宋_GB2312" w:hAnsi="仿宋_GB2312" w:cs="仿宋_GB2312" w:eastAsia="仿宋_GB2312"/>
        </w:rPr>
        <w:t>详见附件：磋商响应方案-食材原材料仓储能力.docx</w:t>
      </w:r>
    </w:p>
    <w:p>
      <w:pPr>
        <w:pStyle w:val="null3"/>
        <w:ind w:firstLine="960"/>
      </w:pPr>
      <w:r>
        <w:rPr>
          <w:rFonts w:ascii="仿宋_GB2312" w:hAnsi="仿宋_GB2312" w:cs="仿宋_GB2312" w:eastAsia="仿宋_GB2312"/>
        </w:rPr>
        <w:t>详见附件：磋商响应方案-供货能力.docx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