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版本号：JC2025-CG0501(14)20250523001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长安区2024年皂河、见子河水毁修复工程施工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JC2025-CG0501(14)</w:t>
      </w:r>
      <w:r>
        <w:br/>
      </w:r>
      <w:r>
        <w:br/>
      </w:r>
      <w:r>
        <w:br/>
      </w:r>
    </w:p>
    <w:p>
      <w:pPr>
        <w:pStyle w:val="null3"/>
        <w:jc w:val="center"/>
        <w:outlineLvl w:val="2"/>
      </w:pPr>
      <w:r>
        <w:rPr>
          <w:rFonts w:ascii="仿宋_GB2312" w:hAnsi="仿宋_GB2312" w:cs="仿宋_GB2312" w:eastAsia="仿宋_GB2312"/>
          <w:sz w:val="28"/>
          <w:b/>
        </w:rPr>
        <w:t>西安市长安区河道管理中心</w:t>
      </w:r>
    </w:p>
    <w:p>
      <w:pPr>
        <w:pStyle w:val="null3"/>
        <w:jc w:val="center"/>
        <w:outlineLvl w:val="2"/>
      </w:pPr>
      <w:r>
        <w:rPr>
          <w:rFonts w:ascii="仿宋_GB2312" w:hAnsi="仿宋_GB2312" w:cs="仿宋_GB2312" w:eastAsia="仿宋_GB2312"/>
          <w:sz w:val="28"/>
          <w:b/>
        </w:rPr>
        <w:t>陕西景诚项目管理有限公司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陕西景诚项目管理有限公司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西安市长安区河道管理中心</w:t>
      </w:r>
      <w:r>
        <w:rPr>
          <w:rFonts w:ascii="仿宋_GB2312" w:hAnsi="仿宋_GB2312" w:cs="仿宋_GB2312" w:eastAsia="仿宋_GB2312"/>
        </w:rPr>
        <w:t>委托，拟对</w:t>
      </w:r>
      <w:r>
        <w:rPr>
          <w:rFonts w:ascii="仿宋_GB2312" w:hAnsi="仿宋_GB2312" w:cs="仿宋_GB2312" w:eastAsia="仿宋_GB2312"/>
        </w:rPr>
        <w:t>长安区2024年皂河、见子河水毁修复工程施工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JC2025-CG0501(14)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长安区2024年皂河、见子河水毁修复工程施工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长安区见子河和皂河2024年发生的2处河道水毁进行修复，主要包括:①对见子河南堀垛村生产桥上下游段左右岸进行水毁修复，生产桥上游设计新建挡墙51.12m，下游新建堤防34.57m;②对皂河西部大道桥下游段右岸进行水毁修复，拆除重建河道21.2m（具体详见工程量清单及图纸所含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采购包1（长安区2024年皂河、见子河水毁修复工程施工）：属于专门面向中小企业采购。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p>
      <w:pPr>
        <w:pStyle w:val="null3"/>
      </w:pPr>
      <w:r>
        <w:rPr>
          <w:rFonts w:ascii="仿宋_GB2312" w:hAnsi="仿宋_GB2312" w:cs="仿宋_GB2312" w:eastAsia="仿宋_GB2312"/>
        </w:rPr>
        <w:t>3、有依法缴纳税收的良好记录：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有依法缴纳社会保障资金的良好记录：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参加政府采购活动前三年内，在经营活动中没有重大违法记录的书面声明（成立时间至磋商截止时间不足三年的可提供成立至今的书面声明）</w:t>
      </w:r>
    </w:p>
    <w:p>
      <w:pPr>
        <w:pStyle w:val="null3"/>
      </w:pPr>
      <w:r>
        <w:rPr>
          <w:rFonts w:ascii="仿宋_GB2312" w:hAnsi="仿宋_GB2312" w:cs="仿宋_GB2312" w:eastAsia="仿宋_GB2312"/>
        </w:rPr>
        <w:t>6、供应商具有履行合同所必需的设备和专业技术能力：提供具有履行本合同所必需的设备和专业技术能力的书面承诺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7、供应商应授权合法的人员参加磋商全过程：法定代表人直接参加磋商的，须出具法定代表人身份证明及身份证，法定代表人委托代理人参加磋商的，须出具法定代表人授权委托书及身份证</w:t>
      </w:r>
    </w:p>
    <w:p>
      <w:pPr>
        <w:pStyle w:val="null3"/>
      </w:pPr>
      <w:r>
        <w:rPr>
          <w:rFonts w:ascii="仿宋_GB2312" w:hAnsi="仿宋_GB2312" w:cs="仿宋_GB2312" w:eastAsia="仿宋_GB2312"/>
        </w:rPr>
        <w:t>8、供应商资质：供应商须具备水利水电工程施工总承包三级及以上资质，且具备建设行政主管部门颁发的安全生产许可证</w:t>
      </w:r>
    </w:p>
    <w:p>
      <w:pPr>
        <w:pStyle w:val="null3"/>
      </w:pPr>
      <w:r>
        <w:rPr>
          <w:rFonts w:ascii="仿宋_GB2312" w:hAnsi="仿宋_GB2312" w:cs="仿宋_GB2312" w:eastAsia="仿宋_GB2312"/>
        </w:rPr>
        <w:t>9、拟派项目经理：拟派项目经理须具备水利水电工程专业二级及以上注册建造师证书及水行政主管部门颁发的安全生产考核合格证书，在本单位注册且无在建工程（提供无在建项目承诺书）</w:t>
      </w:r>
    </w:p>
    <w:p>
      <w:pPr>
        <w:pStyle w:val="null3"/>
      </w:pPr>
      <w:r>
        <w:rPr>
          <w:rFonts w:ascii="仿宋_GB2312" w:hAnsi="仿宋_GB2312" w:cs="仿宋_GB2312" w:eastAsia="仿宋_GB2312"/>
        </w:rPr>
        <w:t>10、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11、非联合体磋商：本项目不接受联合体磋商。单位负责人为同一人或者存在直接控股、管理关系的不同单位不得同时参加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西安市长安区河道管理中心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建材街与润安路十字东北角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贾少楠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029-85291983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陕西景诚项目管理有限公司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西安市高新区沣惠南路16号泰华金贸国际4号楼2203室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蔡文娟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029-88228971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采购包1：571,700.00元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由成交供应商在领取《成交通知书》时，一次性向招标代理机构支付。2.收费依据：以成交价作为基数，按照原《国家计委关于印发&lt;招标代理服务收费管理暂行办法&gt;的通知》（计价格[2002]1980号）、《国家发展改革委办公厅关于招标代理服务收费有关问题的通知》（发改价格[2003]857号）文件的通知标准收取。 缴纳账户信息： 开户名称：陕西景诚项目管理有限公司； 开户行：西安银行股份有限公司长安西路支行； 账号：515011580000149177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西安市长安区河道管理中心</w:t>
      </w:r>
      <w:r>
        <w:rPr>
          <w:rFonts w:ascii="仿宋_GB2312" w:hAnsi="仿宋_GB2312" w:cs="仿宋_GB2312" w:eastAsia="仿宋_GB2312"/>
        </w:rPr>
        <w:t>和</w:t>
      </w:r>
      <w:r>
        <w:rPr>
          <w:rFonts w:ascii="仿宋_GB2312" w:hAnsi="仿宋_GB2312" w:cs="仿宋_GB2312" w:eastAsia="仿宋_GB2312"/>
        </w:rPr>
        <w:t>陕西景诚项目管理有限公司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西安市长安区河道管理中心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陕西景诚项目管理有限公司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西安市长安区河道管理中心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陕西景诚项目管理有限公司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陕西景诚项目管理有限公司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联系人：蔡文娟</w:t>
      </w:r>
    </w:p>
    <w:p>
      <w:pPr>
        <w:pStyle w:val="null3"/>
      </w:pPr>
      <w:r>
        <w:rPr>
          <w:rFonts w:ascii="仿宋_GB2312" w:hAnsi="仿宋_GB2312" w:cs="仿宋_GB2312" w:eastAsia="仿宋_GB2312"/>
        </w:rPr>
        <w:t>联系电话：029-88228971</w:t>
      </w:r>
    </w:p>
    <w:p>
      <w:pPr>
        <w:pStyle w:val="null3"/>
      </w:pPr>
      <w:r>
        <w:rPr>
          <w:rFonts w:ascii="仿宋_GB2312" w:hAnsi="仿宋_GB2312" w:cs="仿宋_GB2312" w:eastAsia="仿宋_GB2312"/>
        </w:rPr>
        <w:t>地址：西安市高新区沣惠南路16号泰华金贸国际4号楼2203室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571,700.00</w:t>
      </w:r>
    </w:p>
    <w:p>
      <w:pPr>
        <w:pStyle w:val="null3"/>
      </w:pPr>
      <w:r>
        <w:rPr>
          <w:rFonts w:ascii="仿宋_GB2312" w:hAnsi="仿宋_GB2312" w:cs="仿宋_GB2312" w:eastAsia="仿宋_GB2312"/>
        </w:rPr>
        <w:t>采购包最高限价（元）: 568,901.84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长安区2024年皂河、见子河水毁修复工程施工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571,700.00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标的名称：长安区2024年皂河、见子河水毁修复工程施工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项目概况及采购内容：</w:t>
            </w:r>
            <w:r>
              <w:rPr>
                <w:rFonts w:ascii="仿宋_GB2312" w:hAnsi="仿宋_GB2312" w:cs="仿宋_GB2312" w:eastAsia="仿宋_GB2312"/>
                <w:sz w:val="20"/>
              </w:rPr>
              <w:t>为长安区见子河和皂河</w:t>
            </w:r>
            <w:r>
              <w:rPr>
                <w:rFonts w:ascii="仿宋_GB2312" w:hAnsi="仿宋_GB2312" w:cs="仿宋_GB2312" w:eastAsia="仿宋_GB2312"/>
                <w:sz w:val="20"/>
              </w:rPr>
              <w:t>2024年发生的2处河道水毁进行修复，主要包括:①对见子河南堀垛村生产桥上下游段左右岸进行水毁修复，生产桥上游设计新建挡墙51.12m，下游新建堤防34.57m;②对皂河西部大道桥下游段右岸进行水毁修复，拆除重建河道21.2m。（具体详见工程量清单及图纸所含全部内容）。</w:t>
            </w:r>
          </w:p>
          <w:p>
            <w:pPr>
              <w:pStyle w:val="null3"/>
              <w:jc w:val="both"/>
            </w:pPr>
            <w:r>
              <w:rPr>
                <w:rFonts w:ascii="仿宋_GB2312" w:hAnsi="仿宋_GB2312" w:cs="仿宋_GB2312" w:eastAsia="仿宋_GB2312"/>
                <w:sz w:val="20"/>
              </w:rPr>
              <w:t>二</w:t>
            </w:r>
            <w:r>
              <w:rPr>
                <w:rFonts w:ascii="仿宋_GB2312" w:hAnsi="仿宋_GB2312" w:cs="仿宋_GB2312" w:eastAsia="仿宋_GB2312"/>
                <w:sz w:val="20"/>
              </w:rPr>
              <w:t>、工程量清单编制依据</w:t>
            </w:r>
          </w:p>
          <w:p>
            <w:pPr>
              <w:pStyle w:val="null3"/>
              <w:jc w:val="both"/>
            </w:pPr>
            <w:r>
              <w:rPr>
                <w:rFonts w:ascii="仿宋_GB2312" w:hAnsi="仿宋_GB2312" w:cs="仿宋_GB2312" w:eastAsia="仿宋_GB2312"/>
                <w:sz w:val="20"/>
              </w:rPr>
              <w:t>1、《长安区2024年皂河、见子河水毁修复工程实施方案》、《长安区2024年皂河、见子河水毁修复工程概算书》；</w:t>
            </w:r>
          </w:p>
          <w:p>
            <w:pPr>
              <w:pStyle w:val="null3"/>
              <w:jc w:val="both"/>
            </w:pPr>
            <w:r>
              <w:rPr>
                <w:rFonts w:ascii="仿宋_GB2312" w:hAnsi="仿宋_GB2312" w:cs="仿宋_GB2312" w:eastAsia="仿宋_GB2312"/>
                <w:sz w:val="20"/>
              </w:rPr>
              <w:t>2、清单编制依据《水利工程工程量清单计价规范》（GB50501-2007）及其配套文件中工程量计算办法；</w:t>
            </w:r>
          </w:p>
          <w:p>
            <w:pPr>
              <w:pStyle w:val="null3"/>
              <w:jc w:val="both"/>
            </w:pPr>
            <w:r>
              <w:rPr>
                <w:rFonts w:ascii="仿宋_GB2312" w:hAnsi="仿宋_GB2312" w:cs="仿宋_GB2312" w:eastAsia="仿宋_GB2312"/>
                <w:sz w:val="20"/>
              </w:rPr>
              <w:t>3、依据正常的施工组织设计及施工方法；</w:t>
            </w:r>
          </w:p>
          <w:p>
            <w:pPr>
              <w:pStyle w:val="null3"/>
              <w:jc w:val="both"/>
            </w:pPr>
            <w:r>
              <w:rPr>
                <w:rFonts w:ascii="仿宋_GB2312" w:hAnsi="仿宋_GB2312" w:cs="仿宋_GB2312" w:eastAsia="仿宋_GB2312"/>
                <w:sz w:val="20"/>
              </w:rPr>
              <w:t>4、施工图设计中采用的相关施工规范及验收规范。</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0"/>
              </w:rPr>
              <w:t>、其他说明</w:t>
            </w:r>
          </w:p>
          <w:p>
            <w:pPr>
              <w:pStyle w:val="null3"/>
              <w:jc w:val="both"/>
            </w:pPr>
            <w:r>
              <w:rPr>
                <w:rFonts w:ascii="仿宋_GB2312" w:hAnsi="仿宋_GB2312" w:cs="仿宋_GB2312" w:eastAsia="仿宋_GB2312"/>
                <w:sz w:val="20"/>
              </w:rPr>
              <w:t>1、本工程采用易投造价软件编制。</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其他临时工程，按</w:t>
            </w:r>
            <w:r>
              <w:rPr>
                <w:rFonts w:ascii="仿宋_GB2312" w:hAnsi="仿宋_GB2312" w:cs="仿宋_GB2312" w:eastAsia="仿宋_GB2312"/>
                <w:sz w:val="20"/>
              </w:rPr>
              <w:t>“建筑和安装费及施工临时工程（不包含其他临时工程费）”之和的</w:t>
            </w:r>
            <w:r>
              <w:rPr>
                <w:rFonts w:ascii="仿宋_GB2312" w:hAnsi="仿宋_GB2312" w:cs="仿宋_GB2312" w:eastAsia="仿宋_GB2312"/>
                <w:sz w:val="20"/>
              </w:rPr>
              <w:t>1</w:t>
            </w:r>
            <w:r>
              <w:rPr>
                <w:rFonts w:ascii="仿宋_GB2312" w:hAnsi="仿宋_GB2312" w:cs="仿宋_GB2312" w:eastAsia="仿宋_GB2312"/>
                <w:sz w:val="20"/>
              </w:rPr>
              <w:t>%计取。</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详见附件</w:t>
            </w:r>
            <w:r>
              <w:rPr>
                <w:rFonts w:ascii="仿宋_GB2312" w:hAnsi="仿宋_GB2312" w:cs="仿宋_GB2312" w:eastAsia="仿宋_GB2312"/>
                <w:sz w:val="20"/>
              </w:rPr>
              <w:t>“工程量清单”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合同签订之日起90日历天。2.质量标准：达到国家现行施工验收规范“合格”标准。3.缺陷责任期（工程质量保修期）：工程竣工验收合格后1年，成交人承诺的质保时间超过国家标准要求的，按其承诺时间质保。成交人承诺的质保期起始时间为终验合格之日。4.付款方式：（1）根据工程进度，支付至合同价款的80%时暂停支付，项目完工后，供应商提供结算资料，由采购人向审计部门报送竣工决算资料进行决算审计，审计结束后，采购人按照决算审定价，支付剩余款项；（2）每期付款时供应商提供等额发票申请款项。5.运输、进度：成交单位负责施工过程中材料的运输、施工及其他伴随服务。6.技术规范及要求：执行国家、省、市现行的相关规定及标准文件。7.竣工验收：（1）竣工须达到的标准和具备工程验收的条件；（2）工程验收规范、标准，验收的组织实施；（3）工程验收合格须移交的工程资料和竣工图纸等。8.验收依据：（1）合同文本及合同补充文件（条款）；（2）磋商文件及成交单位的磋商响应文件；（3）国家、省、市现行的施工验收标准及相关规定文件。（4）国家相关法律法规。 备注：1.供应商的磋商报价应是为完成本项目磋商文件中所提出的施工范围及要求的全部价格体现，包括供应商实施本项目所需的直接费、间接费、利润、税金及其它相关的一切费用。包括但不限于：人工费、材料费、设备费、管理费、保险、运输、维护、验收费、缺陷修复及合同所有责任、义务和风险等全部费用。2.项目属性：工程，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 供应商资格证明文件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2023年度或2024年度经审计的财务报告（成立时间至磋商截止时间不足一年的可提供成立后任意时段的资产负债表）或磋商截止时间前六个月内其基本账户银行出具的资信证明或政府采购信用担保机构出具的担保函，以上形式的证明资料提供任何一种即可</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磋商截止时间前一年内至少一个月的纳税证明或完税证明（增值税、营业税、企业所得税至少提供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磋商截止时间前一年内至少一个月的社会保障资金缴存单据或社保机构开具的社会保险参保缴费情况证明，单据或证明上应有社保机构或代收机构的公章或业务专用章。成立时间至磋商截止时间不足一个月或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参加政府采购活动前三年内，在经营活动中没有重大违法记录的书面声明（成立时间至磋商截止时间不足三年的可提供成立至今的书面声明）</w:t>
            </w:r>
          </w:p>
        </w:tc>
        <w:tc>
          <w:tcPr>
            <w:tcW w:type="dxa" w:w="1661"/>
          </w:tcPr>
          <w:p>
            <w:pPr>
              <w:pStyle w:val="null3"/>
            </w:pPr>
            <w:r>
              <w:rPr>
                <w:rFonts w:ascii="仿宋_GB2312" w:hAnsi="仿宋_GB2312" w:cs="仿宋_GB2312" w:eastAsia="仿宋_GB2312"/>
              </w:rPr>
              <w:t>供应商承诺书 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法定代表人直接参加磋商的，须出具法定代表人身份证明及身份证，法定代表人委托代理人参加磋商的，须出具法定代表人授权委托书及身份证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供应商须具备水利水电工程施工总承包三级及以上资质，且具备建设行政主管部门颁发的安全生产许可证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拟派项目经理须具备水利水电工程专业二级及以上注册建造师证书及水行政主管部门颁发的安全生产考核合格证书，在本单位注册且无在建工程（提供无在建项目承诺书）</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本项目不接受联合体磋商。单位负责人为同一人或者存在直接控股、管理关系的不同单位不得同时参加</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至少以下三处的项目名称、项目编号、合同包（未分合同包的除外）与本项目完全一致：（1）响应文件封面；（2）投标（响应）函；（3）法定代表人（单位负责人）委托授权书\身份证明。</w:t>
            </w:r>
          </w:p>
        </w:tc>
        <w:tc>
          <w:tcPr>
            <w:tcW w:type="dxa" w:w="1661"/>
          </w:tcPr>
          <w:p>
            <w:pPr>
              <w:pStyle w:val="null3"/>
            </w:pPr>
            <w:r>
              <w:rPr>
                <w:rFonts w:ascii="仿宋_GB2312" w:hAnsi="仿宋_GB2312" w:cs="仿宋_GB2312" w:eastAsia="仿宋_GB2312"/>
              </w:rPr>
              <w:t>响应文件封面 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已标价工程量清单 技术响应方案 中小企业声明函 技术服务合同条款及其他商务要求应答表 强制优先采购产品承诺函 响应文件封面 残疾人福利性单位声明函 报价函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报价唯一，且没有高于采购预算或磋商文件规定的最高限价。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完全理解并响应采购文件合同条款的要求，且未含有采购人不能接受的附加条件的。</w:t>
            </w:r>
          </w:p>
        </w:tc>
        <w:tc>
          <w:tcPr>
            <w:tcW w:type="dxa" w:w="1661"/>
          </w:tcPr>
          <w:p>
            <w:pPr>
              <w:pStyle w:val="null3"/>
            </w:pPr>
            <w:r>
              <w:rPr>
                <w:rFonts w:ascii="仿宋_GB2312" w:hAnsi="仿宋_GB2312" w:cs="仿宋_GB2312" w:eastAsia="仿宋_GB2312"/>
              </w:rPr>
              <w:t>技术响应方案 技术服务合同条款及其他商务要求应答表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符合法律、法规和竞争性磋商中规定的其他实质性要求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针对本项目内容提出适用于本项目的施工方案，方案包括：①水毁修复方案； ②施工场地管理方案； ③场地人员管理方案。 二、评审标准 1.完整性：方案全面，对评审内容中的各项要求有详细描述； 2.针对性：方案紧扣项目实际情况，内容科学合理； 3.可实施性：切合本项目实际情况，提出步骤清晰、合理的方案。 三、赋分标准（满分9分） ①水毁修复方案：每完全满足一个评审标准得1分；针对评审标准存在有不合理处的得0.5分；内容与本项目无关或未提供的得0分。 ②施工场地管理方案：每完全满足一个评审标准得1分；针对评审标准存在有不合理处的得0.5分；内容与本项目无关或未提供的得0分。 ③场地人员管理方案：每完全满足一个评审标准得1分；针对评审标准存在有不合理处的得0.5分；内容与本项目无关或未提供的得0分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针对本项目内容提出适用于本项目的确保工期的技术组织措施。 二、评审标准 1.完整性：措施全面，对评审内容中的各项要求有详细描述； 2.针对性：措施紧扣项目实际情况，内容科学合理； 3.可实施性：切合本项目实际情况，提出步骤清晰、合理的措施。 三、赋分标准（满分3分） 确保工期的技术组织措施：每完全满足一个评审标准得1分；针对评审标准存在有不合理处的得0.5分；内容与本项目无关或未提供的得0分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针对本项目内容提出适用于本项目的确保工程质量的技术组织措施。 二、评审标准 1.完整性：措施全面，对评审内容中的各项要求有详细描述； 2.针对性：措施紧扣项目实际情况，内容科学合理； 3.可实施性：切合本项目实际情况，提出步骤清晰、合理的措施。 三、赋分标准（满分3分） 确保工程质量的技术组织措施：每完全满足一个评审标准得1分；针对评审标准存在有不合理处的得0.5分；内容与本项目无关或未提供的得0分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针对本项目内容提出适用于本项目的应急预案，包括：①人员事故应急预案；②突发暴雨、大风、大雾等特殊天气的应急预案。 二、评审标准 1.完整性：方案全面，对评审内容中的各项要求有详细描述； 2.针对性：方案紧扣项目实际情况，内容科学合理； 3.可实施性：切合本项目实际情况，提出步骤清晰、合理的方案。 三、赋分标准（满分6分） ①人员事故应急预案：每完全满足一个评审标准得1分；针对评审标准存在有不合理处的得0.5分；内容与本项目无关或未提供的得0分。 ②突发暴雨、大风、大雾等特殊天气的应急预案：每完全满足一个评审标准得1分；针对评审标准存在有不合理处的得0.5分；内容与本项目无关或未提供的得0分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一、评审内容 针对本项目内容提出适用于本项目的确保文明施工的技术组织措施。 二、评审标准 1.完整性：措施全面，对评审内容中的各项要求有详细描述； 2.针对性：措施紧扣项目实际情况，内容科学合理； 3.可实施性：切合本项目实际情况，提出步骤清晰、合理的措施。 三、赋分标准（满分3分） 确保文明施工的技术组织措施：每完全满足一个评审标准得1分； 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针对本项目内容提出适用于本项目的确保安全生产技术组织措施，包括：①施工人员安全培训措施；②设施、设备安全检查措施；③安全施工措施。 二、评审标准 1.完整性：措施全面，对评审内容中的各项要求有详细描述； 2.针对性：措施紧扣项目实际情况，内容科学合理； 3.可实施性：切合本项目实际情况，提出步骤清晰、合理的措施。 三、赋分标准（满分9分） ①施工人员安全培训措施：每完全满足一个评审标准得1分；针对评审标准存在有不合理处的得0.5分；内容与本项目无关或未提供的得0分。 ②设施、设备安全检查措施：每完全满足一个评审标准得1分；针对评审标准存在有不合理处的得0.5分；内容与本项目无关或未提供的得0分。 ③安全施工措施：每完全满足一个评审标准得1分；针对评审标准存在有不合理处的得0.5分；内容与本项目无关或未提供的得0分。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一、评审内容 针对本项目内容提出适用于本项目的施工组织和项目管理机构，方案包括： ①施工组织方案； ②项目管理机构组织方案。 二、评审标准 1.完整性：方案全面，对评审内容中的各项要求有详细描述； 2.针对性：方案紧扣项目实际情况，内容科学合理； 3.可实施性：切合本项目实际情况，提出步骤清晰、合理的方案。 三、赋分标准（满分6分） ①施工组织：每完全满足一个评审标准得1分；针对评审标准存在有不合理处的得0.5分；内容与本项目无关或未提供的得0分。 ②项目管理机构：每完全满足一个评审标准得1分；针对评审标准存在有不合理处的得0.5分；内容与本项目无关或未提供的得0分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劳动力计划安排方案</w:t>
            </w:r>
          </w:p>
        </w:tc>
        <w:tc>
          <w:tcPr>
            <w:tcW w:type="dxa" w:w="2492"/>
          </w:tcPr>
          <w:p>
            <w:pPr>
              <w:pStyle w:val="null3"/>
            </w:pPr>
            <w:r>
              <w:rPr>
                <w:rFonts w:ascii="仿宋_GB2312" w:hAnsi="仿宋_GB2312" w:cs="仿宋_GB2312" w:eastAsia="仿宋_GB2312"/>
              </w:rPr>
              <w:t>一、评审内容 针对本项目内容提出适用于本项目的劳动力计划安排方案。 二、评审标准 1.完整性：方案全面，对评审内容中的各项要求有详细描述； 2.针对性：方案紧扣项目实际情况，内容科学合理； 3.可实施性：切合本项目实际情况，提出步骤清晰、合理的方案。 三、赋分标准（满分3分） 劳动力安排计划方案：每完全满足一个评审标准得1分； 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针对本项目内容提出适用于本项目的施工机械配备和材料投入计划，包括：①施工机械配备方案；②材料投入计划。 二、评审标准 1.完整性：方案全面，对评审内容中的各项要求有详细描述； 2.针对性：方案紧扣项目实际情况，内容科学合理； 3.可实施性：切合本项目实际情况，提出步骤清晰、合理的方案。 三、赋分标准（满分6分） ①施工机械配备方案：每完全满足一个评审标准得1分；针对评审标准存在有不合理处的得0.5分；内容与本项目无关或未提供的得0分。 ②材料投入计划：每完全满足一个评审标准得1分；针对评审标准存在有不合理处的得0.5分； 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确保环境保护的组织措施</w:t>
            </w:r>
          </w:p>
        </w:tc>
        <w:tc>
          <w:tcPr>
            <w:tcW w:type="dxa" w:w="2492"/>
          </w:tcPr>
          <w:p>
            <w:pPr>
              <w:pStyle w:val="null3"/>
            </w:pPr>
            <w:r>
              <w:rPr>
                <w:rFonts w:ascii="仿宋_GB2312" w:hAnsi="仿宋_GB2312" w:cs="仿宋_GB2312" w:eastAsia="仿宋_GB2312"/>
              </w:rPr>
              <w:t>一、评审内容 针对本项目内容提出适用于本项目的确保环境保护的组织措施，包括：①治污减霾措施；②施工周围及施工场地的环境保护措施。 二、评审标准 1.完整性：措施全面，对评审内容中的各项要求有详细描述； 2.针对性：措施紧扣项目实际情况，内容科学合理； 3.可实施性：切合本项目实际情况，提出步骤清晰、合理的方案。 三、赋分标准（满分6分） ①治污减霾措施：每完全满足一个评审标准得1分；针对评审标准存在有不合理处的得0.5分；内容与本项目无关或未提供的得0分。 ②施工周围及施工场地的环境保护措施：每完全满足一个评审标准得1分；针对评审标准存在有不合理处的得0.5分； 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一、评审内容 针对本项目内容提出适用于本项目的新技术、新产品、新工艺、新材料应用方案。 二、评审标准 1.针对性：方案紧扣项目实际情况，内容科学合理； 2.可实施性：切合本项目实际情况，提出步骤清晰、合理的应用方案。 三、赋分标准（满分1分） 新技术、新产品、新工艺、新材料的应用方案：完全满足评审标准得1分；针对评审标准存在有不合理处的得0.5分； 内容与本项目无关或未提供的得0分。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针对本项目内容提出适用于本项目的相关承诺，包括： ①对实施过程中与采购人的沟通、协调等内容做出承诺； ②供应商对施工过程产生的垃圾按规定倾倒、不随意抛洒等内容做出承诺； ③供应商对工期时限、工程质量及进度等内容作出承诺。 二、评审标准 1.完整性：方案必须全面，对评审内容中的各项要求有详细描述； 2.针对性：方案紧扣项目实际情况，内容科学合理； 3.可实施性：切合本项目实际情况，提出步骤清晰、合理的方案。 三、赋分标准（满分9分） ①对实施过程中与采购人的沟通、协调等内容做出承诺：每完全满足一个评审标准得1分；针对评审标准存在有不合理处的得0.5分；内容与本项目无关或未提供的得0分。 ②供应商对施工过程产生的垃圾按规定倾倒、不随意抛洒等内容做出承诺：每完全满足一个评审标准得1分；针对评审标准存在有不合理处的得0.5分；内容与本项目无关或未提供的得0分。 ③供应商对工期时限、工程质量及进度等内容作出承诺：每完全满足一个评审标准得1分；针对评审标准存在有不合理处的得0.5分； 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技术响应方案</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供应商承诺书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供应商2022年01月01日以来承担过类似项目业绩（以合同或中标通知书为准)；每提供一项业绩得2分，最高得6分。须提供合同或中标通知书复印件或扫描件并加盖公章，不提供不计分。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 3.其他供应商的价格分统一按照下列公式计算：磋商报价得分=（磋商基准价/最后磋商报价）×30%×100。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详见附件：技术响应方案</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详见附件：合同附件.docx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