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版本号：HCCG-2025-03320250526001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长安区水网规划编制项目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HCCG-2025-033</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长安区水网规划编制项目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长安区水网规划编制项目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以《西安市现代水网建设规划》总体框架为依托，加快编制长安区水网建设规划，远景展望到2050年。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采购包1（长安区水网规划编制项目）：属于专门面向中小企业采购。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1、主体身份：具有独立承担民事责任能力的法人、其他组织或自然人，提供合法有效的统一社会信用代码营业执照（事业单位法人证书/专业服务机构执业许可证/民办非企业单位登记证书，自然人提供身份证）； </w:t>
      </w:r>
    </w:p>
    <w:p>
      <w:pPr>
        <w:pStyle w:val="null3"/>
      </w:pPr>
      <w:r>
        <w:rPr>
          <w:rFonts w:ascii="仿宋_GB2312" w:hAnsi="仿宋_GB2312" w:cs="仿宋_GB2312" w:eastAsia="仿宋_GB2312"/>
        </w:rPr>
        <w:t xml:space="preserve">2、财务状况报告：提供经会计师事务所审计的2023年度或2024年度财务审计报告，或在开标日期前六个月内其基本开户银行出具的资信证明及基本存款账户开户许可证（基本账户信息）或财政部门认可的政府采购专业担保机构出具的投标担保函； </w:t>
      </w:r>
    </w:p>
    <w:p>
      <w:pPr>
        <w:pStyle w:val="null3"/>
      </w:pPr>
      <w:r>
        <w:rPr>
          <w:rFonts w:ascii="仿宋_GB2312" w:hAnsi="仿宋_GB2312" w:cs="仿宋_GB2312" w:eastAsia="仿宋_GB2312"/>
        </w:rPr>
        <w:t xml:space="preserve">3、税收缴纳证明：供应商提供2024年4月至今已缴存的至少1个月的依法缴纳税收的相关凭据（税种须包含增值税或企业所得税）。依法免税或无须缴纳税收的供应商，应提供相应证明文件。 </w:t>
      </w:r>
    </w:p>
    <w:p>
      <w:pPr>
        <w:pStyle w:val="null3"/>
      </w:pPr>
      <w:r>
        <w:rPr>
          <w:rFonts w:ascii="仿宋_GB2312" w:hAnsi="仿宋_GB2312" w:cs="仿宋_GB2312" w:eastAsia="仿宋_GB2312"/>
        </w:rPr>
        <w:t>4、社会保障资金缴纳证明：供应商提供2024年4月至今已缴存的至少1个月的社会保障资金缴存单据或社保机构开具的社会保险参保缴费情况证明。依法不需要缴纳社会保障资金的供应商应提供相关证明文件。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5、设备和专业技术能力的声明：提供具有履行本合同所必需的设备和专业技术能力的声明；</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8、资质证书：供应商须具备建设行政主管部门颁发的工程设计水利行业乙级及以上资质或水利行业（灌溉排涝或河道整治或引调水）专业设计乙级及以上资质；</w:t>
      </w:r>
    </w:p>
    <w:p>
      <w:pPr>
        <w:pStyle w:val="null3"/>
      </w:pPr>
      <w:r>
        <w:rPr>
          <w:rFonts w:ascii="仿宋_GB2312" w:hAnsi="仿宋_GB2312" w:cs="仿宋_GB2312" w:eastAsia="仿宋_GB2312"/>
        </w:rPr>
        <w:t>9、项目负责人：拟派项目负责人须具备水利相关专业高级及以上职称；</w:t>
      </w:r>
    </w:p>
    <w:p>
      <w:pPr>
        <w:pStyle w:val="null3"/>
      </w:pPr>
      <w:r>
        <w:rPr>
          <w:rFonts w:ascii="仿宋_GB2312" w:hAnsi="仿宋_GB2312" w:cs="仿宋_GB2312" w:eastAsia="仿宋_GB2312"/>
        </w:rPr>
        <w:t>10、信用信息（供应商无须提供截图，由采购人或采购代理机构现场查询）：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11、控股管理关系：本项目不接受联合体磋商，单位负责人为同一人或者存在直接控股、管理关系的不同供应商，不得参加同一合同项下的政府采购活动。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029-85298115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代理服务费收费标准：由中标人按国家计委颁发的《招标代理服务收费管理暂行办法》（计价格[2002]1980号）的有关规定标准计取。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联系人：赵工、李工</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以《西安市现代水网建设规划》总体框架为依托，加快编制长安区水网建设规划，远景展望到2050年。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长安区水网规划编制项目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标的名称：长安区水网规划编制项目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一、主要内容：</w:t>
            </w:r>
          </w:p>
          <w:p>
            <w:pPr>
              <w:pStyle w:val="null3"/>
            </w:pPr>
            <w:r>
              <w:rPr>
                <w:rFonts w:ascii="仿宋_GB2312" w:hAnsi="仿宋_GB2312" w:cs="仿宋_GB2312" w:eastAsia="仿宋_GB2312"/>
                <w:sz w:val="24"/>
                <w:color w:val="000000"/>
              </w:rPr>
              <w:t>1.全面分析水网建设基础与面临形势。根据河湖水系分布、基础设施建设等情况，梳理建设现状及存在问题，分析面临形势。</w:t>
            </w:r>
          </w:p>
          <w:p>
            <w:pPr>
              <w:pStyle w:val="null3"/>
            </w:pPr>
            <w:r>
              <w:rPr>
                <w:rFonts w:ascii="仿宋_GB2312" w:hAnsi="仿宋_GB2312" w:cs="仿宋_GB2312" w:eastAsia="仿宋_GB2312"/>
                <w:sz w:val="24"/>
                <w:color w:val="000000"/>
              </w:rPr>
              <w:t>2.合理确定水网建设目标指标。提高防洪排涝、水资源集约节约利用、灌溉排水，水生态保护修复、数字孪生等能力，提出水网建设思路，确定具体指标。</w:t>
            </w:r>
          </w:p>
          <w:p>
            <w:pPr>
              <w:pStyle w:val="null3"/>
            </w:pPr>
            <w:r>
              <w:rPr>
                <w:rFonts w:ascii="仿宋_GB2312" w:hAnsi="仿宋_GB2312" w:cs="仿宋_GB2312" w:eastAsia="仿宋_GB2312"/>
                <w:sz w:val="24"/>
                <w:color w:val="000000"/>
              </w:rPr>
              <w:t>3.科学谋划水网建设布局。根据水利基础设施网络，合理布局水网工程，构建符合区域特点的水网格局。</w:t>
            </w:r>
          </w:p>
          <w:p>
            <w:pPr>
              <w:pStyle w:val="null3"/>
            </w:pPr>
            <w:r>
              <w:rPr>
                <w:rFonts w:ascii="仿宋_GB2312" w:hAnsi="仿宋_GB2312" w:cs="仿宋_GB2312" w:eastAsia="仿宋_GB2312"/>
                <w:sz w:val="24"/>
                <w:color w:val="000000"/>
              </w:rPr>
              <w:t>4.合理确定水网建设主要任务。健全防洪排涝体系、优化水资源配置格局、打造河湖水生态保护、建设数字孪生水网四大体系，提出主要任务和重点项目。</w:t>
            </w:r>
          </w:p>
          <w:p>
            <w:pPr>
              <w:pStyle w:val="null3"/>
            </w:pPr>
            <w:r>
              <w:rPr>
                <w:rFonts w:ascii="仿宋_GB2312" w:hAnsi="仿宋_GB2312" w:cs="仿宋_GB2312" w:eastAsia="仿宋_GB2312"/>
                <w:sz w:val="24"/>
                <w:color w:val="000000"/>
              </w:rPr>
              <w:t>5.投资匡算与实施安排。确定投资匡算、分年度计划、实施安排等。</w:t>
            </w:r>
          </w:p>
          <w:p>
            <w:pPr>
              <w:pStyle w:val="null3"/>
            </w:pPr>
            <w:r>
              <w:rPr>
                <w:rFonts w:ascii="仿宋_GB2312" w:hAnsi="仿宋_GB2312" w:cs="仿宋_GB2312" w:eastAsia="仿宋_GB2312"/>
                <w:sz w:val="24"/>
                <w:color w:val="000000"/>
              </w:rPr>
              <w:t>6.研究提出保障措施。从安全发展、绿色发展、融合发展、体制机制等方面，研究提出推动水网建设的相关措施。</w:t>
            </w:r>
          </w:p>
          <w:p>
            <w:pPr>
              <w:pStyle w:val="null3"/>
            </w:pPr>
            <w:r>
              <w:rPr>
                <w:rFonts w:ascii="仿宋_GB2312" w:hAnsi="仿宋_GB2312" w:cs="仿宋_GB2312" w:eastAsia="仿宋_GB2312"/>
                <w:sz w:val="24"/>
                <w:color w:val="000000"/>
              </w:rPr>
              <w:t>二、服务标准：达到国家及现行行业合格标准</w:t>
            </w:r>
          </w:p>
          <w:p>
            <w:pPr>
              <w:pStyle w:val="null3"/>
            </w:pPr>
            <w:r>
              <w:rPr>
                <w:rFonts w:ascii="仿宋_GB2312" w:hAnsi="仿宋_GB2312" w:cs="仿宋_GB2312" w:eastAsia="仿宋_GB2312"/>
                <w:sz w:val="24"/>
                <w:color w:val="000000"/>
              </w:rPr>
              <w:t>三、成果交付：纸质及电子版</w:t>
            </w:r>
            <w:r>
              <w:rPr>
                <w:rFonts w:ascii="仿宋_GB2312" w:hAnsi="仿宋_GB2312" w:cs="仿宋_GB2312" w:eastAsia="仿宋_GB2312"/>
                <w:sz w:val="24"/>
                <w:color w:val="000000"/>
              </w:rPr>
              <w:t>U盘</w:t>
            </w:r>
          </w:p>
          <w:p>
            <w:pPr>
              <w:pStyle w:val="null3"/>
            </w:pPr>
            <w:r>
              <w:rPr>
                <w:rFonts w:ascii="仿宋_GB2312" w:hAnsi="仿宋_GB2312" w:cs="仿宋_GB2312" w:eastAsia="仿宋_GB2312"/>
                <w:sz w:val="24"/>
                <w:color w:val="000000"/>
              </w:rPr>
              <w:t>四、成果文件的份数及要求：根据委托人要求份数提供</w:t>
            </w:r>
          </w:p>
          <w:p>
            <w:pPr>
              <w:pStyle w:val="null3"/>
              <w:jc w:val="both"/>
            </w:pPr>
            <w:r>
              <w:rPr>
                <w:rFonts w:ascii="仿宋_GB2312" w:hAnsi="仿宋_GB2312" w:cs="仿宋_GB2312" w:eastAsia="仿宋_GB2312"/>
                <w:sz w:val="24"/>
                <w:color w:val="000000"/>
              </w:rPr>
              <w:t>五、</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60日历</w:t>
            </w:r>
            <w:r>
              <w:rPr>
                <w:rFonts w:ascii="仿宋_GB2312" w:hAnsi="仿宋_GB2312" w:cs="仿宋_GB2312" w:eastAsia="仿宋_GB2312"/>
                <w:sz w:val="24"/>
                <w:color w:val="000000"/>
              </w:rPr>
              <w:t>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达到国家及现行行业合格标准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通过审查后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（1）乙方在项目实施过程中形成的所有原始资料、过程资料、最终成果及所涉知识产权归甲方所有，未经甲方书面同意，所有资料不得以任何方式、任何理由向第三方披露或提供，不得向任何人透露有关内容。 （2）双方均有义务对属于对方的技术和经济秘密进行保护，未经同意不得将对方的资料、成果用于本合同以外的项目。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 xml:space="preserve">具有独立承担民事责任能力的法人、其他组织或自然人，提供合法有效的统一社会信用代码营业执照（事业单位法人证书/专业服务机构执业许可证/民办非企业单位登记证书，自然人提供身份证）；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提供经会计师事务所审计的2023年度或2024年度财务审计报告，或在开标日期前六个月内其基本开户银行出具的资信证明及基本存款账户开户许可证（基本账户信息）或财政部门认可的政府采购专业担保机构出具的投标担保函；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供应商提供2024年4月至今已缴存的至少1个月的依法缴纳税收的相关凭据（税种须包含增值税或企业所得税）。依法免税或无须缴纳税收的供应商，应提供相应证明文件。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供应商提供2024年4月至今已缴存的至少1个月的社会保障资金缴存单据或社保机构开具的社会保险参保缴费情况证明。依法不需要缴纳社会保障资金的供应商应提供相关证明文件。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供应商须具备建设行政主管部门颁发的工程设计水利行业乙级及以上资质或水利行业（灌溉排涝或河道整治或引调水）专业设计乙级及以上资质；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拟派项目负责人须具备水利相关专业高级及以上职称；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信用信息（供应商无须提供截图，由采购人或采购代理机构现场查询）</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供应商认为有必要说明的其他问题.docx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与所投项目名称、项目编号一致，且符合磋商文件规定加盖供应商电子公并由法定代表人或其授权代理人签署姓名（如已授权，则由授权代理人签署）</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满足本磋商文件中实质性条款（服务期限、服务地点、支付方式、支付约定）要求的</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项目情况了解及政策解读</w:t>
            </w:r>
          </w:p>
        </w:tc>
        <w:tc>
          <w:tcPr>
            <w:tcW w:type="dxa" w:w="2492"/>
          </w:tcPr>
          <w:p>
            <w:pPr>
              <w:pStyle w:val="null3"/>
            </w:pPr>
            <w:r>
              <w:rPr>
                <w:rFonts w:ascii="仿宋_GB2312" w:hAnsi="仿宋_GB2312" w:cs="仿宋_GB2312" w:eastAsia="仿宋_GB2312"/>
              </w:rPr>
              <w:t>①对本项目相关政策解读深刻，背景研判准确，资料搜集专业、内容梳理详实，对发展现状情况认识深刻、透彻得 10分； ②政策解读、资料搜集和内容梳理基本符合项目需求，现状问题解读基本明确，得 8分； ③政策解读、资料搜集和内容梳理较符合项目需求，现状问题解读不够明确，得6分； ④政策解读、资料搜集和内容梳理不够全面，现状问题解读不够明确，得4分； ⑤政策解读、背景与现状分析不到位，得2分； ⑥未提供得0分。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思路及方法</w:t>
            </w:r>
          </w:p>
        </w:tc>
        <w:tc>
          <w:tcPr>
            <w:tcW w:type="dxa" w:w="2492"/>
          </w:tcPr>
          <w:p>
            <w:pPr>
              <w:pStyle w:val="null3"/>
            </w:pPr>
            <w:r>
              <w:rPr>
                <w:rFonts w:ascii="仿宋_GB2312" w:hAnsi="仿宋_GB2312" w:cs="仿宋_GB2312" w:eastAsia="仿宋_GB2312"/>
              </w:rPr>
              <w:t>①作业思路及方法与本项目衔接紧密，实施性强，总体思路符合磋商文件要求编制特点，定位理念清晰合理，得 10分； ②衔接紧密，实施性较强，总体思路基本体现出磋商文件要求编制特点，定位理念基本清晰合理，得 8分； ③衔接不够紧密，实施性一般，总体思路基本体现出磋商文件要求编制特点，定位理念基本清晰合理，得 6分； ④衔接不紧密，实施性较差，总体思路无法体现出磋商文件要求编制特点，定位理念不清晰合理，得 4分； ⑤总体思路和定位理念内容缺失或无具体方案，得2分； ⑥未提供得0分。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①服务项目进度安排、工作计划及相关措施。明显优于采购需求的得10分； ②服务项目进度安排、工作计划及相关措施科学、合理得8分； ③服务项目进度安排、工作计划及相关措施基本满足采购需要的得6分； ④服务项目进度安排、工作计划及相关措施相关措施较合理、实时性较强得4分； ⑤措施简单但不影响项目实施的得2分； ⑥未提供不得分。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项目重点难点分析、应对措施及合理化建议</w:t>
            </w:r>
          </w:p>
        </w:tc>
        <w:tc>
          <w:tcPr>
            <w:tcW w:type="dxa" w:w="2492"/>
          </w:tcPr>
          <w:p>
            <w:pPr>
              <w:pStyle w:val="null3"/>
            </w:pPr>
            <w:r>
              <w:rPr>
                <w:rFonts w:ascii="仿宋_GB2312" w:hAnsi="仿宋_GB2312" w:cs="仿宋_GB2312" w:eastAsia="仿宋_GB2312"/>
              </w:rPr>
              <w:t>①项目重点难点分析、应对措施及相关的合理化建议，内容完整准确，思路清晰，贴合实际情况的得10分； ②项目重点难点分析、应对措施及相关的合理化建议，内容基本完整准确，思路相对清晰，基本贴合实际情况的得8分； ③项目重点难点分析、应对措施及相关的合理化建议，内容基本完整准确，思路相对清晰，比较贴合实际情况的得6分； ④项目重点难点分析、应对措施及相关的合理化建议，内容较详细，思路一般得4分； ⑤项目重点难点分析、应对措施及相关的合理化建议，内容欠缺，不符合实际情况得2分； ⑥未提供不得分。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编制方案</w:t>
            </w:r>
          </w:p>
        </w:tc>
        <w:tc>
          <w:tcPr>
            <w:tcW w:type="dxa" w:w="2492"/>
          </w:tcPr>
          <w:p>
            <w:pPr>
              <w:pStyle w:val="null3"/>
            </w:pPr>
            <w:r>
              <w:rPr>
                <w:rFonts w:ascii="仿宋_GB2312" w:hAnsi="仿宋_GB2312" w:cs="仿宋_GB2312" w:eastAsia="仿宋_GB2312"/>
              </w:rPr>
              <w:t>编制重点及成果：根据项目具体情况进行难点、重点分析并提出解决方法。 ①具体情况分析详细、地域特色突出，技术成果全面、完整， 符合采购人要求和国家有关规范的规定，得10分； ②具体情况分析明确、地域特色较突出，技术成果全面，得 8分； ③具体情况分析较明确、地域特色较突出，技术成果较全面，得 6分； ④具体情况分析不够明确、地域特色不够突出，技术成果不够全面，得4分； ⑤无具体的情况分析，技术方案和成果内容缺失，得2 分。 ⑥未提供得0分。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①确保成果报告准确的质量保证措施，保证报告的权威性、真实性、准确性，符合相关行业的标准要求。明显优于相关行业标准的得10分； ②质量保证措施内容完整详尽，责任制度明确、可行性强得8分； ③质量保证措施内容无缺漏能满足项目需求的得6分； ④质量保证措施基本符合项目需求的得4分； ⑤质量保证措施不完整但不影响项目实施的得2分； ⑥未提供不得分。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提供(负责人除外)其他人员的职称证书，技术人员中每有1人具有水利相关专业中级或以上职称的得1分，最高得8分。 注:提供职称证复印件加盖公章，未提供不得分。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根据项目管理组织架构、内部分工和职责等情况进行打分。 ①组织架构设置合理、内部分工和职责明确的得6分； ②组织架构设置基本合理、内部分工和职责基本明确的得4分， ③组织架构设置较合理、内部分工和职责较明确的得2分，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2022年1月1日以来（以合同签订时间为准）完成类似项目业绩，每提供一项得2分， 未提供不得分。满分10分。 注：响应文件中提供完整的合同复印件加盖供应商公章。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供应商提供的服务承诺应说明向采购人提供的各项服务内容、质量标准、保密措施、后续服务承诺。以上4项承诺完整提供的得6分，每缺少一项内容扣1.5分，未提供不得分。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