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版本号：SZT2025-SN-QC-ZC-GC-043220250526001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长安区王曲街道江兆村八组崩塌治理工程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SZT2025-SN-QC-ZC-GC-0432</w:t>
      </w:r>
      <w:r>
        <w:br/>
      </w:r>
      <w:r>
        <w:br/>
      </w:r>
      <w:r>
        <w:br/>
      </w:r>
    </w:p>
    <w:p>
      <w:pPr>
        <w:pStyle w:val="null3"/>
        <w:jc w:val="center"/>
        <w:outlineLvl w:val="2"/>
      </w:pPr>
      <w:r>
        <w:rPr>
          <w:rFonts w:ascii="仿宋_GB2312" w:hAnsi="仿宋_GB2312" w:cs="仿宋_GB2312" w:eastAsia="仿宋_GB2312"/>
          <w:sz w:val="28"/>
          <w:b/>
        </w:rPr>
        <w:t>西安市自然资源和规划局长安分局矿产资源管理站</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委托，拟对</w:t>
      </w:r>
      <w:r>
        <w:rPr>
          <w:rFonts w:ascii="仿宋_GB2312" w:hAnsi="仿宋_GB2312" w:cs="仿宋_GB2312" w:eastAsia="仿宋_GB2312"/>
        </w:rPr>
        <w:t>长安区王曲街道江兆村八组崩塌治理工程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SZT2025-SN-QC-ZC-GC-0432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长安区王曲街道江兆村八组崩塌治理工程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西安市长安区王曲街道江兆村八组崩塌治理工程位于王曲街道江兆村八组，江兆村八组崩塌总宽度约 300m，陡崖高 9~16m，崩塌源厚度约1.0~5.0m，体积约 1.8×104m3。本项目建设内容主要包括:削坡工程、护脚墙工程、窑洞回填、截排水工程、绿化工程、监测工程等项目内容。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采购包1（长安区王曲街道江兆村八组崩塌治理工程）：属于专门面向中小企业采购。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1、供应商要求：供应商须具备地质灾害防治单位资质施工乙级以上资质（含乙级），并具备安全生产许可证。</w:t>
      </w:r>
    </w:p>
    <w:p>
      <w:pPr>
        <w:pStyle w:val="null3"/>
      </w:pPr>
      <w:r>
        <w:rPr>
          <w:rFonts w:ascii="仿宋_GB2312" w:hAnsi="仿宋_GB2312" w:cs="仿宋_GB2312" w:eastAsia="仿宋_GB2312"/>
        </w:rPr>
        <w:t>2、拟派项目负责人资质和专业要求：项目负责人须具备二级以上（含二级）水利水电工程专业或建筑工程专业注册建造师证书和项目经理安全生产考核合格证，且无在建工程（承诺书）。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西安市自然资源和规划局长安分局矿产资源管理站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029-85295468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采购包1：2,463,900.00元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招标代理机构交纳招标代理服务费。招标代理服务费的收取参见国家计委颁布的《招标代理服务收费管理暂行办法》（计价格[2002]1980号）和（发改办价格[2011]534号）中收费标准，按照成交金额差额定率累进法计算。此招标代理服务费应计入投标中，但不单列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2,463,900.00</w:t>
      </w:r>
    </w:p>
    <w:p>
      <w:pPr>
        <w:pStyle w:val="null3"/>
      </w:pPr>
      <w:r>
        <w:rPr>
          <w:rFonts w:ascii="仿宋_GB2312" w:hAnsi="仿宋_GB2312" w:cs="仿宋_GB2312" w:eastAsia="仿宋_GB2312"/>
        </w:rPr>
        <w:t>采购包最高限价（元）: 2,463,875.16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江兆村八组崩塌治理工程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2,463,900.00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标的名称：江兆村八组崩塌治理工程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1、</w:t>
            </w:r>
            <w:r>
              <w:rPr>
                <w:rFonts w:ascii="仿宋_GB2312" w:hAnsi="仿宋_GB2312" w:cs="仿宋_GB2312" w:eastAsia="仿宋_GB2312"/>
                <w:sz w:val="24"/>
                <w:b/>
              </w:rPr>
              <w:t>工程概况</w:t>
            </w:r>
          </w:p>
          <w:p>
            <w:pPr>
              <w:pStyle w:val="null3"/>
              <w:ind w:firstLine="480"/>
            </w:pPr>
            <w:r>
              <w:rPr>
                <w:rFonts w:ascii="仿宋_GB2312" w:hAnsi="仿宋_GB2312" w:cs="仿宋_GB2312" w:eastAsia="仿宋_GB2312"/>
                <w:sz w:val="24"/>
              </w:rPr>
              <w:t>西安市长安区王曲街道江兆村八组崩塌治理工程位于王曲街道江兆村八组，江兆村八组崩塌总宽度约</w:t>
            </w:r>
            <w:r>
              <w:rPr>
                <w:rFonts w:ascii="仿宋_GB2312" w:hAnsi="仿宋_GB2312" w:cs="仿宋_GB2312" w:eastAsia="仿宋_GB2312"/>
                <w:sz w:val="24"/>
              </w:rPr>
              <w:t>300m，陡崖高 9~16m，崩塌源厚度约1.0~5.0m，体积约 1.8×104m3。本项目建设内容主要包括:削坡工程、护脚墙工程、窑洞回填、截排水工程、绿化工程、监测工程等项目内容。</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编制依据及原则</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西安市长安区王曲街道江兆村八组崩塌治理工程相关图纸；</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）陕西省发展和改革委员会关于《陕西省水利工程设计预算编制规定》</w:t>
            </w:r>
          </w:p>
          <w:p>
            <w:pPr>
              <w:pStyle w:val="null3"/>
              <w:ind w:firstLine="480"/>
            </w:pPr>
            <w:r>
              <w:rPr>
                <w:rFonts w:ascii="仿宋_GB2312" w:hAnsi="仿宋_GB2312" w:cs="仿宋_GB2312" w:eastAsia="仿宋_GB2312"/>
                <w:sz w:val="24"/>
              </w:rPr>
              <w:t>《陕西省水利建筑工程预算定额》等计价依据的批复（陕发改项目</w:t>
            </w:r>
            <w:r>
              <w:rPr>
                <w:rFonts w:ascii="仿宋_GB2312" w:hAnsi="仿宋_GB2312" w:cs="仿宋_GB2312" w:eastAsia="仿宋_GB2312"/>
                <w:sz w:val="24"/>
              </w:rPr>
              <w:t>[2017]1606 号）；</w:t>
            </w:r>
          </w:p>
          <w:p>
            <w:pPr>
              <w:pStyle w:val="null3"/>
            </w:pPr>
            <w:r>
              <w:rPr>
                <w:rFonts w:ascii="仿宋_GB2312" w:hAnsi="仿宋_GB2312" w:cs="仿宋_GB2312" w:eastAsia="仿宋_GB2312"/>
                <w:sz w:val="24"/>
                <w:b/>
              </w:rPr>
              <w:t>3、</w:t>
            </w:r>
            <w:r>
              <w:rPr>
                <w:rFonts w:ascii="仿宋_GB2312" w:hAnsi="仿宋_GB2312" w:cs="仿宋_GB2312" w:eastAsia="仿宋_GB2312"/>
                <w:sz w:val="24"/>
                <w:b/>
              </w:rPr>
              <w:t>取费标准及计算方法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）其他直接费均以基本直接费为取费基础，取</w:t>
            </w:r>
            <w:r>
              <w:rPr>
                <w:rFonts w:ascii="仿宋_GB2312" w:hAnsi="仿宋_GB2312" w:cs="仿宋_GB2312" w:eastAsia="仿宋_GB2312"/>
                <w:sz w:val="24"/>
              </w:rPr>
              <w:t>4.5</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）间接费：均以直接费为取费基础，土方工程取</w:t>
            </w:r>
            <w:r>
              <w:rPr>
                <w:rFonts w:ascii="仿宋_GB2312" w:hAnsi="仿宋_GB2312" w:cs="仿宋_GB2312" w:eastAsia="仿宋_GB2312"/>
                <w:sz w:val="24"/>
              </w:rPr>
              <w:t>4</w:t>
            </w:r>
            <w:r>
              <w:rPr>
                <w:rFonts w:ascii="仿宋_GB2312" w:hAnsi="仿宋_GB2312" w:cs="仿宋_GB2312" w:eastAsia="仿宋_GB2312"/>
                <w:sz w:val="24"/>
              </w:rPr>
              <w:t>％，石方工程、</w:t>
            </w:r>
            <w:r>
              <w:rPr>
                <w:rFonts w:ascii="仿宋_GB2312" w:hAnsi="仿宋_GB2312" w:cs="仿宋_GB2312" w:eastAsia="仿宋_GB2312"/>
                <w:sz w:val="24"/>
              </w:rPr>
              <w:t>混凝土制作、疏浚工程、其他</w:t>
            </w:r>
            <w:r>
              <w:rPr>
                <w:rFonts w:ascii="仿宋_GB2312" w:hAnsi="仿宋_GB2312" w:cs="仿宋_GB2312" w:eastAsia="仿宋_GB2312"/>
                <w:sz w:val="24"/>
              </w:rPr>
              <w:t>取</w:t>
            </w:r>
            <w:r>
              <w:rPr>
                <w:rFonts w:ascii="仿宋_GB2312" w:hAnsi="仿宋_GB2312" w:cs="仿宋_GB2312" w:eastAsia="仿宋_GB2312"/>
                <w:sz w:val="24"/>
              </w:rPr>
              <w:t>6%，</w:t>
            </w:r>
            <w:r>
              <w:rPr>
                <w:rFonts w:ascii="仿宋_GB2312" w:hAnsi="仿宋_GB2312" w:cs="仿宋_GB2312" w:eastAsia="仿宋_GB2312"/>
                <w:sz w:val="24"/>
              </w:rPr>
              <w:t>模板工程、钢筋制作安装工程取</w:t>
            </w:r>
            <w:r>
              <w:rPr>
                <w:rFonts w:ascii="仿宋_GB2312" w:hAnsi="仿宋_GB2312" w:cs="仿宋_GB2312" w:eastAsia="仿宋_GB2312"/>
                <w:sz w:val="24"/>
              </w:rPr>
              <w:t>5</w:t>
            </w:r>
            <w:r>
              <w:rPr>
                <w:rFonts w:ascii="仿宋_GB2312" w:hAnsi="仿宋_GB2312" w:cs="仿宋_GB2312" w:eastAsia="仿宋_GB2312"/>
                <w:sz w:val="24"/>
              </w:rPr>
              <w:t>%，钻孔灌浆及锚固工程</w:t>
            </w:r>
            <w:r>
              <w:rPr>
                <w:rFonts w:ascii="仿宋_GB2312" w:hAnsi="仿宋_GB2312" w:cs="仿宋_GB2312" w:eastAsia="仿宋_GB2312"/>
                <w:sz w:val="24"/>
              </w:rPr>
              <w:t>取</w:t>
            </w:r>
            <w:r>
              <w:rPr>
                <w:rFonts w:ascii="仿宋_GB2312" w:hAnsi="仿宋_GB2312" w:cs="仿宋_GB2312" w:eastAsia="仿宋_GB2312"/>
                <w:sz w:val="24"/>
              </w:rPr>
              <w:t>9%，</w:t>
            </w:r>
            <w:r>
              <w:rPr>
                <w:rFonts w:ascii="仿宋_GB2312" w:hAnsi="仿宋_GB2312" w:cs="仿宋_GB2312" w:eastAsia="仿宋_GB2312"/>
                <w:sz w:val="24"/>
              </w:rPr>
              <w:t>设备安装工程取</w:t>
            </w:r>
            <w:r>
              <w:rPr>
                <w:rFonts w:ascii="仿宋_GB2312" w:hAnsi="仿宋_GB2312" w:cs="仿宋_GB2312" w:eastAsia="仿宋_GB2312"/>
                <w:sz w:val="24"/>
              </w:rPr>
              <w:t>60</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）利润取直接费与间接费之和的</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）税金取增值税销项税率</w:t>
            </w:r>
            <w:r>
              <w:rPr>
                <w:rFonts w:ascii="仿宋_GB2312" w:hAnsi="仿宋_GB2312" w:cs="仿宋_GB2312" w:eastAsia="仿宋_GB2312"/>
                <w:sz w:val="24"/>
              </w:rPr>
              <w:t>9％。</w:t>
            </w:r>
          </w:p>
          <w:p>
            <w:pPr>
              <w:pStyle w:val="null3"/>
              <w:ind w:firstLine="480"/>
            </w:pPr>
            <w:r>
              <w:rPr>
                <w:rFonts w:ascii="仿宋_GB2312" w:hAnsi="仿宋_GB2312" w:cs="仿宋_GB2312" w:eastAsia="仿宋_GB2312"/>
                <w:sz w:val="24"/>
              </w:rPr>
              <w:t>4、特殊说明</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1）临时工程费取建筑工程费的3%；</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暂列金额为</w:t>
            </w:r>
            <w:r>
              <w:rPr>
                <w:rFonts w:ascii="仿宋_GB2312" w:hAnsi="仿宋_GB2312" w:cs="仿宋_GB2312" w:eastAsia="仿宋_GB2312"/>
                <w:sz w:val="24"/>
              </w:rPr>
              <w:t>100000.00元（此项费用为不可竞争费用，如报价中未包含此项费用为无效报价）；</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工程量清单编制采用陕西省易投造价软件。</w:t>
            </w:r>
          </w:p>
          <w:p>
            <w:pPr>
              <w:pStyle w:val="null3"/>
            </w:pPr>
            <w:r>
              <w:rPr>
                <w:rFonts w:ascii="仿宋_GB2312" w:hAnsi="仿宋_GB2312" w:cs="仿宋_GB2312" w:eastAsia="仿宋_GB2312"/>
                <w:sz w:val="24"/>
                <w:b/>
              </w:rPr>
              <w:t>4.工期：180天</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付款方式：</w:t>
            </w:r>
            <w:r>
              <w:rPr>
                <w:rFonts w:ascii="仿宋_GB2312" w:hAnsi="仿宋_GB2312" w:cs="仿宋_GB2312" w:eastAsia="仿宋_GB2312"/>
                <w:sz w:val="24"/>
              </w:rPr>
              <w:t>合同签订后支付总价款的</w:t>
            </w:r>
            <w:r>
              <w:rPr>
                <w:rFonts w:ascii="仿宋_GB2312" w:hAnsi="仿宋_GB2312" w:cs="仿宋_GB2312" w:eastAsia="仿宋_GB2312"/>
                <w:sz w:val="24"/>
              </w:rPr>
              <w:t>30%，项目完工后支付合同总价款的80%，项目验收合格竣工结算后付至结算价97%，剩余3%合同款作为质保金在质保期满后无质量及其他问题30日内</w:t>
            </w:r>
            <w:r>
              <w:rPr>
                <w:rFonts w:ascii="仿宋_GB2312" w:hAnsi="仿宋_GB2312" w:cs="仿宋_GB2312" w:eastAsia="仿宋_GB2312"/>
                <w:sz w:val="24"/>
              </w:rPr>
              <w:t>一次付清。</w:t>
            </w:r>
          </w:p>
          <w:p>
            <w:pPr>
              <w:pStyle w:val="null3"/>
              <w:jc w:val="both"/>
            </w:pPr>
            <w:r>
              <w:rPr>
                <w:rFonts w:ascii="仿宋_GB2312" w:hAnsi="仿宋_GB2312" w:cs="仿宋_GB2312" w:eastAsia="仿宋_GB2312"/>
                <w:sz w:val="24"/>
                <w:b/>
              </w:rPr>
              <w:t>6.质保期：</w:t>
            </w:r>
            <w:r>
              <w:rPr>
                <w:rFonts w:ascii="仿宋_GB2312" w:hAnsi="仿宋_GB2312" w:cs="仿宋_GB2312" w:eastAsia="仿宋_GB2312"/>
                <w:sz w:val="24"/>
                <w:b/>
              </w:rPr>
              <w:t>工程终验后一年。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按照国家及行业相关标准执行。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报价方式：最后报价方式。 投标报价： 1.本项目单价包括完成一个规定计量单位项目所需的人工费、材料费、机械费、企业管理费、利润、风险费用、规费、税金、安全文明措施专项费、协调费等所有费用。 2.超出最高限价将导致废标。 3.合同单价以磋商最终报价与一次报价的下浮比例，对所有单价进行同比例下浮，以下浮后的价格作为合同执行单价。 踏勘：本项目不组织统一踏勘，供应商自行踏勘。 1. 供应商踏勘现场发生的费用自理。 2.供应商自行负责在踏勘现场中所发生的人员伤亡和财产损失。 3. 采购人在踏勘现场中介绍的工程场地和相关的周边环境情况，以作为供应商在编制磋商响应文件时参考，采购人不对供应商据此作出的判断和决策负责。其他费用：造价咨询费按照陕价行发【2014】88号文件《陕西省执行政府指导价的工程造价咨询服务收费项目和标准》计取，由中标人在领取通知书前付清。账户名称：华睿诚项目管理有限公司；开户行：西安银行小寨东路支行；帐号：816011580000101224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2、具有良好的商业信誉和健全的财务会计制度，提供2023或2024年度经审计完整的财务审计报告，或其开标前6个月内银行出具的资信证明，或财政部门认可的政府采购专业担保机构出具的投标担保函；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具有良好的商业信誉和健全的财务会计制度，提供2023或2024年度经审计完整的财务审计报告，或其开标前6个月内银行出具的资信证明，或财政部门认可的政府采购专业担保机构出具的投标担保函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供应商须具备地质灾害防治单位资质施工乙级以上资质（含乙级），并具备安全生产许可证。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项目负责人须具备二级以上（含二级）水利水电工程专业或建筑工程专业注册建造师证书和项目经理安全生产考核合格证，且无在建工程（承诺书）。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供应商参加政府采购活动承诺书.docx 已标价工程量清单 拒绝政府采购领域商业贿赂承诺书.docx 报价函 标的清单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法定代表人授权代表参加投标的，须出具法定代表人授权书及授权代表身份证（法定代表人直接参加投标的，须出具法定代表人身份证）。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关于联合体磋商要求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非联合体磋商承诺书.docx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工期要求完全响应。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付款方式及项目质保期完全响应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报价是否超预算或最高限价，或缺漏项</w:t>
            </w:r>
          </w:p>
        </w:tc>
        <w:tc>
          <w:tcPr>
            <w:tcW w:type="dxa" w:w="1661"/>
          </w:tcPr>
          <w:p>
            <w:pPr>
              <w:pStyle w:val="null3"/>
            </w:pPr>
            <w:r>
              <w:rPr>
                <w:rFonts w:ascii="仿宋_GB2312" w:hAnsi="仿宋_GB2312" w:cs="仿宋_GB2312" w:eastAsia="仿宋_GB2312"/>
              </w:rPr>
              <w:t>已标价工程量清单 报价函 磋商报价表.docx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有符合本项目工程的质量管理目标和质量管理制度、主要工序的质量技术保证措施和手段。措施是否完备齐全、先进、合理、切实可行。在1.0～6.0分之间赋分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安全管理人员配备合理，制度健全，各道工序安全技术措施针对性强，符合实际且满足要求措施是否完备齐全、先进、合理、切实可行。在1.0～6.0分之间赋分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有现场文明施工计划和环境保护措施，且各项措施周全、具体、有效。在1.0～6.0分之间赋分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有保证工期的技术措施、组织措施及施工进度安排。措施是否完备齐全、先进、合理、切实可行。在1.0～6.0分之间赋分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有完善、针对性强、切实可行的实施方案。在1.0～6.0分之间赋分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项目组织机构及项目经理部组成人员</w:t>
            </w:r>
          </w:p>
        </w:tc>
        <w:tc>
          <w:tcPr>
            <w:tcW w:type="dxa" w:w="2492"/>
          </w:tcPr>
          <w:p>
            <w:pPr>
              <w:pStyle w:val="null3"/>
            </w:pPr>
            <w:r>
              <w:rPr>
                <w:rFonts w:ascii="仿宋_GB2312" w:hAnsi="仿宋_GB2312" w:cs="仿宋_GB2312" w:eastAsia="仿宋_GB2312"/>
              </w:rPr>
              <w:t>人员齐备、专业配套、相关岗位证书齐全。在1.0～6.0分之间赋分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投入的施工机械、设备、机具有详细计划周密，设备数量、选型配置、进场数量、时间安排合理满足施工需求。在1.0～6.0分之间赋分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施工进度表或施工网络图，安排科学合理符合本项目施工实际要求。在1.0～6.0分之间赋分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劳动力安排合理妥当，时间安排合理满足施工需求。在1.0～6.0分之间赋分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新技术、新产品、新工艺、新材料应用及施工现场扬尘预防措施</w:t>
            </w:r>
          </w:p>
        </w:tc>
        <w:tc>
          <w:tcPr>
            <w:tcW w:type="dxa" w:w="2492"/>
          </w:tcPr>
          <w:p>
            <w:pPr>
              <w:pStyle w:val="null3"/>
            </w:pPr>
            <w:r>
              <w:rPr>
                <w:rFonts w:ascii="仿宋_GB2312" w:hAnsi="仿宋_GB2312" w:cs="仿宋_GB2312" w:eastAsia="仿宋_GB2312"/>
              </w:rPr>
              <w:t>施工单位应用的技术、产品、工艺、材料等先进科学，并有合理的施工现场扬尘预防措施。在1.0～6.0分之间赋分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2022年1月1日至今相关项目的业绩，提供合同复印件并加盖公章，每个业绩得2分，共10分，未提供的不得分。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详见附件：非联合体磋商承诺书.docx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