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403B4">
      <w:pPr>
        <w:pStyle w:val="4"/>
        <w:bidi w:val="0"/>
        <w:spacing w:line="360" w:lineRule="auto"/>
        <w:jc w:val="center"/>
        <w:rPr>
          <w:rFonts w:hint="eastAsia" w:ascii="仿宋" w:hAnsi="仿宋" w:eastAsia="仿宋" w:cs="仿宋"/>
          <w:sz w:val="32"/>
          <w:szCs w:val="32"/>
          <w:lang w:eastAsia="zh-CN"/>
        </w:rPr>
      </w:pPr>
      <w:r>
        <w:rPr>
          <w:rFonts w:hint="eastAsia" w:ascii="仿宋" w:hAnsi="仿宋" w:eastAsia="仿宋" w:cs="仿宋"/>
          <w:sz w:val="32"/>
          <w:szCs w:val="32"/>
          <w:lang w:val="en-US" w:eastAsia="zh-CN"/>
        </w:rPr>
        <w:t>西安市长安区王曲街道江兆村八组崩塌治理工程        工程量清单</w:t>
      </w:r>
      <w:r>
        <w:rPr>
          <w:rFonts w:hint="eastAsia" w:ascii="仿宋" w:hAnsi="仿宋" w:eastAsia="仿宋" w:cs="仿宋"/>
          <w:sz w:val="32"/>
          <w:szCs w:val="32"/>
          <w:lang w:eastAsia="zh-CN"/>
        </w:rPr>
        <w:t>编制说明</w:t>
      </w:r>
    </w:p>
    <w:p w14:paraId="165ADB95">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eastAsia="zh-CN"/>
        </w:rPr>
        <w:t>工程概况</w:t>
      </w:r>
      <w:bookmarkStart w:id="0" w:name="_GoBack"/>
      <w:bookmarkEnd w:id="0"/>
    </w:p>
    <w:p w14:paraId="2CFEDE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val="0"/>
          <w:color w:val="auto"/>
          <w:spacing w:val="6"/>
          <w:w w:val="100"/>
          <w:kern w:val="0"/>
          <w:position w:val="0"/>
          <w:sz w:val="24"/>
          <w:szCs w:val="24"/>
          <w:highlight w:val="none"/>
          <w:lang w:val="en-US" w:eastAsia="zh-CN" w:bidi="ar"/>
        </w:rPr>
      </w:pPr>
      <w:r>
        <w:rPr>
          <w:rFonts w:hint="eastAsia" w:ascii="仿宋" w:hAnsi="仿宋" w:eastAsia="仿宋" w:cs="仿宋"/>
          <w:color w:val="000000"/>
          <w:kern w:val="0"/>
          <w:sz w:val="24"/>
          <w:szCs w:val="24"/>
          <w:lang w:val="en-US" w:eastAsia="zh-CN" w:bidi="ar"/>
        </w:rPr>
        <w:t>西安市长安区王曲街道江兆村八组崩塌治理工程位于王曲街道江兆村八组，江兆村八组崩塌总宽度约 300m，陡崖高 9~16m，崩塌源厚度约1.0~5.0m，体积约 1.8×104m3。本</w:t>
      </w:r>
      <w:r>
        <w:rPr>
          <w:rFonts w:hint="eastAsia" w:ascii="仿宋" w:hAnsi="仿宋" w:eastAsia="仿宋" w:cs="仿宋"/>
          <w:color w:val="auto"/>
          <w:spacing w:val="6"/>
          <w:w w:val="100"/>
          <w:kern w:val="0"/>
          <w:position w:val="0"/>
          <w:sz w:val="24"/>
          <w:szCs w:val="24"/>
          <w:highlight w:val="none"/>
          <w:lang w:val="en-US" w:eastAsia="zh-CN" w:bidi="ar"/>
        </w:rPr>
        <w:t>项目建设内容主要包括:削坡工程、护脚墙工程、窑洞回填、截排水工程、绿化工程、监测工程等项目内容。</w:t>
      </w:r>
    </w:p>
    <w:p w14:paraId="2FCE66E5">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val="en-US" w:eastAsia="zh-CN"/>
        </w:rPr>
        <w:t>2、</w:t>
      </w:r>
      <w:r>
        <w:rPr>
          <w:rFonts w:hint="eastAsia" w:ascii="仿宋" w:hAnsi="仿宋" w:eastAsia="仿宋" w:cs="仿宋"/>
          <w:b/>
          <w:bCs w:val="0"/>
          <w:sz w:val="24"/>
          <w:szCs w:val="24"/>
          <w:lang w:eastAsia="zh-CN"/>
        </w:rPr>
        <w:t>编制依据及原则</w:t>
      </w:r>
    </w:p>
    <w:p w14:paraId="314E708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lang w:eastAsia="zh-CN"/>
        </w:rPr>
        <w:t>）</w:t>
      </w:r>
      <w:r>
        <w:rPr>
          <w:rFonts w:hint="eastAsia" w:ascii="仿宋" w:hAnsi="仿宋" w:eastAsia="仿宋" w:cs="仿宋"/>
          <w:color w:val="000000"/>
          <w:kern w:val="0"/>
          <w:sz w:val="24"/>
          <w:szCs w:val="24"/>
          <w:lang w:val="en-US" w:eastAsia="zh-CN" w:bidi="ar"/>
        </w:rPr>
        <w:t>西安市长安区王曲街道江兆村八组崩塌治理工程相关图纸；</w:t>
      </w:r>
    </w:p>
    <w:p w14:paraId="15239F5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）陕西省发展和改革委员会关于《陕西省水利工程设计预算编制规定》</w:t>
      </w:r>
    </w:p>
    <w:p w14:paraId="73E875D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《陕西省水利建筑工程预算定额》等计价依据的批复（陕发改项目[2017]1606 号）；</w:t>
      </w:r>
    </w:p>
    <w:p w14:paraId="248AC3D5">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b w:val="0"/>
          <w:bCs/>
          <w:sz w:val="24"/>
          <w:szCs w:val="24"/>
          <w:lang w:eastAsia="zh-CN"/>
        </w:rPr>
      </w:pPr>
      <w:r>
        <w:rPr>
          <w:rFonts w:hint="eastAsia" w:ascii="仿宋" w:hAnsi="仿宋" w:eastAsia="仿宋" w:cs="仿宋"/>
          <w:b/>
          <w:bCs w:val="0"/>
          <w:sz w:val="24"/>
          <w:szCs w:val="24"/>
          <w:lang w:val="en-US" w:eastAsia="zh-CN"/>
        </w:rPr>
        <w:t>3、</w:t>
      </w:r>
      <w:r>
        <w:rPr>
          <w:rFonts w:hint="eastAsia" w:ascii="仿宋" w:hAnsi="仿宋" w:eastAsia="仿宋" w:cs="仿宋"/>
          <w:b/>
          <w:bCs w:val="0"/>
          <w:sz w:val="24"/>
          <w:szCs w:val="24"/>
          <w:lang w:eastAsia="zh-CN"/>
        </w:rPr>
        <w:t>取费标准及计算方法</w:t>
      </w:r>
    </w:p>
    <w:p w14:paraId="0AB432B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lang w:eastAsia="zh-CN"/>
        </w:rPr>
        <w:t xml:space="preserve">）其他直接费均以基本直接费为取费基础，取 </w:t>
      </w:r>
      <w:r>
        <w:rPr>
          <w:rFonts w:hint="eastAsia" w:ascii="仿宋" w:hAnsi="仿宋" w:eastAsia="仿宋" w:cs="仿宋"/>
          <w:b w:val="0"/>
          <w:bCs/>
          <w:sz w:val="24"/>
          <w:szCs w:val="24"/>
          <w:lang w:val="en-US" w:eastAsia="zh-CN"/>
        </w:rPr>
        <w:t>4.5</w:t>
      </w:r>
      <w:r>
        <w:rPr>
          <w:rFonts w:hint="eastAsia" w:ascii="仿宋" w:hAnsi="仿宋" w:eastAsia="仿宋" w:cs="仿宋"/>
          <w:b w:val="0"/>
          <w:bCs/>
          <w:sz w:val="24"/>
          <w:szCs w:val="24"/>
          <w:lang w:eastAsia="zh-CN"/>
        </w:rPr>
        <w:t>％；</w:t>
      </w:r>
    </w:p>
    <w:p w14:paraId="02EBE35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 xml:space="preserve">）间接费：均以直接费为取费基础，土方工程取 </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％，石方工程、</w:t>
      </w:r>
      <w:r>
        <w:rPr>
          <w:rFonts w:hint="eastAsia" w:ascii="仿宋" w:hAnsi="仿宋" w:eastAsia="仿宋" w:cs="仿宋"/>
          <w:b w:val="0"/>
          <w:bCs/>
          <w:sz w:val="24"/>
          <w:szCs w:val="24"/>
          <w:lang w:val="en-US" w:eastAsia="zh-CN"/>
        </w:rPr>
        <w:t>混凝土制作、疏浚工程、其他</w:t>
      </w:r>
      <w:r>
        <w:rPr>
          <w:rFonts w:hint="eastAsia" w:ascii="仿宋" w:hAnsi="仿宋" w:eastAsia="仿宋" w:cs="仿宋"/>
          <w:b w:val="0"/>
          <w:bCs/>
          <w:sz w:val="24"/>
          <w:szCs w:val="24"/>
          <w:lang w:eastAsia="zh-CN"/>
        </w:rPr>
        <w:t>取</w:t>
      </w:r>
      <w:r>
        <w:rPr>
          <w:rFonts w:hint="eastAsia" w:ascii="仿宋" w:hAnsi="仿宋" w:eastAsia="仿宋" w:cs="仿宋"/>
          <w:b w:val="0"/>
          <w:bCs/>
          <w:sz w:val="24"/>
          <w:szCs w:val="24"/>
          <w:lang w:val="en-US" w:eastAsia="zh-CN"/>
        </w:rPr>
        <w:t>6%，</w:t>
      </w:r>
      <w:r>
        <w:rPr>
          <w:rFonts w:hint="eastAsia" w:ascii="仿宋" w:hAnsi="仿宋" w:eastAsia="仿宋" w:cs="仿宋"/>
          <w:b w:val="0"/>
          <w:bCs/>
          <w:sz w:val="24"/>
          <w:szCs w:val="24"/>
          <w:lang w:eastAsia="zh-CN"/>
        </w:rPr>
        <w:t>模板工程、钢筋制作安装工程取</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%，钻孔灌浆及锚固工程</w:t>
      </w:r>
      <w:r>
        <w:rPr>
          <w:rFonts w:hint="eastAsia" w:ascii="仿宋" w:hAnsi="仿宋" w:eastAsia="仿宋" w:cs="仿宋"/>
          <w:b w:val="0"/>
          <w:bCs/>
          <w:sz w:val="24"/>
          <w:szCs w:val="24"/>
          <w:lang w:val="en-US" w:eastAsia="zh-CN"/>
        </w:rPr>
        <w:t>取9%，</w:t>
      </w:r>
      <w:r>
        <w:rPr>
          <w:rFonts w:hint="eastAsia" w:ascii="仿宋" w:hAnsi="仿宋" w:eastAsia="仿宋" w:cs="仿宋"/>
          <w:b w:val="0"/>
          <w:bCs/>
          <w:sz w:val="24"/>
          <w:szCs w:val="24"/>
          <w:lang w:eastAsia="zh-CN"/>
        </w:rPr>
        <w:t>设备安装工程取</w:t>
      </w:r>
      <w:r>
        <w:rPr>
          <w:rFonts w:hint="eastAsia" w:ascii="仿宋" w:hAnsi="仿宋" w:eastAsia="仿宋" w:cs="仿宋"/>
          <w:b w:val="0"/>
          <w:bCs/>
          <w:sz w:val="24"/>
          <w:szCs w:val="24"/>
          <w:lang w:val="en-US" w:eastAsia="zh-CN"/>
        </w:rPr>
        <w:t>60</w:t>
      </w:r>
      <w:r>
        <w:rPr>
          <w:rFonts w:hint="eastAsia" w:ascii="仿宋" w:hAnsi="仿宋" w:eastAsia="仿宋" w:cs="仿宋"/>
          <w:b w:val="0"/>
          <w:bCs/>
          <w:sz w:val="24"/>
          <w:szCs w:val="24"/>
          <w:lang w:eastAsia="zh-CN"/>
        </w:rPr>
        <w:t>％；</w:t>
      </w:r>
    </w:p>
    <w:p w14:paraId="51D1D61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 xml:space="preserve">）利润取直接费与间接费之和的 </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w:t>
      </w:r>
    </w:p>
    <w:p w14:paraId="5627511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）税金取增值税销项税率 9％。</w:t>
      </w:r>
    </w:p>
    <w:p w14:paraId="00E0029F">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b/>
          <w:bCs w:val="0"/>
          <w:sz w:val="24"/>
          <w:szCs w:val="24"/>
          <w:lang w:val="en-US" w:eastAsia="zh-CN"/>
        </w:rPr>
      </w:pPr>
      <w:r>
        <w:rPr>
          <w:rFonts w:hint="eastAsia" w:ascii="仿宋" w:hAnsi="仿宋" w:eastAsia="仿宋" w:cs="仿宋"/>
          <w:b/>
          <w:bCs w:val="0"/>
          <w:sz w:val="24"/>
          <w:szCs w:val="24"/>
          <w:lang w:val="en-US" w:eastAsia="zh-CN"/>
        </w:rPr>
        <w:t>4、特殊说明</w:t>
      </w:r>
    </w:p>
    <w:p w14:paraId="236C315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（1）临时工程费取建筑工程费的3%；</w:t>
      </w:r>
    </w:p>
    <w:p w14:paraId="1051593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暂列金额为100000.00元；</w:t>
      </w:r>
    </w:p>
    <w:p w14:paraId="1F5916D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工程量清单编制采用陕西省易投造价软件。</w:t>
      </w:r>
    </w:p>
    <w:p w14:paraId="4F413E88">
      <w:pPr>
        <w:keepNext w:val="0"/>
        <w:keepLines w:val="0"/>
        <w:pageBreakBefore w:val="0"/>
        <w:kinsoku/>
        <w:wordWrap/>
        <w:overflowPunct/>
        <w:topLinePunct w:val="0"/>
        <w:autoSpaceDE/>
        <w:autoSpaceDN/>
        <w:bidi w:val="0"/>
        <w:snapToGrid/>
        <w:spacing w:line="360" w:lineRule="auto"/>
        <w:jc w:val="left"/>
        <w:textAlignment w:val="auto"/>
        <w:rPr>
          <w:rFonts w:hint="eastAsia" w:ascii="仿宋" w:hAnsi="仿宋" w:eastAsia="仿宋" w:cs="仿宋"/>
          <w:b w:val="0"/>
          <w:bCs/>
          <w:sz w:val="24"/>
          <w:szCs w:val="24"/>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BEC58B"/>
    <w:multiLevelType w:val="singleLevel"/>
    <w:tmpl w:val="6BBEC5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NzJlOWRjZDdmYmVmOTc4Mjc1ODJiZjY5NjQ5ZWIifQ=="/>
  </w:docVars>
  <w:rsids>
    <w:rsidRoot w:val="57340DF9"/>
    <w:rsid w:val="05CF5CED"/>
    <w:rsid w:val="084915B3"/>
    <w:rsid w:val="0B1B7594"/>
    <w:rsid w:val="0B5D11D0"/>
    <w:rsid w:val="0BB377CC"/>
    <w:rsid w:val="0C5372D1"/>
    <w:rsid w:val="0C994C13"/>
    <w:rsid w:val="0D5634BA"/>
    <w:rsid w:val="0DD66929"/>
    <w:rsid w:val="10B1154C"/>
    <w:rsid w:val="1378002D"/>
    <w:rsid w:val="16F235B5"/>
    <w:rsid w:val="16F31F68"/>
    <w:rsid w:val="17E818EC"/>
    <w:rsid w:val="181826D0"/>
    <w:rsid w:val="1A27385F"/>
    <w:rsid w:val="1D76173A"/>
    <w:rsid w:val="1DBC4BA1"/>
    <w:rsid w:val="1EF2645D"/>
    <w:rsid w:val="1FAE737F"/>
    <w:rsid w:val="20416F36"/>
    <w:rsid w:val="21186D15"/>
    <w:rsid w:val="216F15D2"/>
    <w:rsid w:val="23811DBA"/>
    <w:rsid w:val="24271848"/>
    <w:rsid w:val="243C2E6F"/>
    <w:rsid w:val="247502D9"/>
    <w:rsid w:val="24910FC0"/>
    <w:rsid w:val="27C66D63"/>
    <w:rsid w:val="297D3446"/>
    <w:rsid w:val="2ADE3EAC"/>
    <w:rsid w:val="2DF931E0"/>
    <w:rsid w:val="2EEC3B37"/>
    <w:rsid w:val="2F361003"/>
    <w:rsid w:val="3034687E"/>
    <w:rsid w:val="30417191"/>
    <w:rsid w:val="33C10429"/>
    <w:rsid w:val="34C27254"/>
    <w:rsid w:val="35773495"/>
    <w:rsid w:val="377F73DC"/>
    <w:rsid w:val="38146101"/>
    <w:rsid w:val="383C3852"/>
    <w:rsid w:val="38ED3A6E"/>
    <w:rsid w:val="3A77687A"/>
    <w:rsid w:val="3C736BAB"/>
    <w:rsid w:val="3D3E5BA3"/>
    <w:rsid w:val="3FB365ED"/>
    <w:rsid w:val="406C3CA3"/>
    <w:rsid w:val="454B4183"/>
    <w:rsid w:val="46885013"/>
    <w:rsid w:val="474F69F1"/>
    <w:rsid w:val="49A3274A"/>
    <w:rsid w:val="4B942C3D"/>
    <w:rsid w:val="4E3C09DC"/>
    <w:rsid w:val="4E402461"/>
    <w:rsid w:val="51405582"/>
    <w:rsid w:val="53FC46CA"/>
    <w:rsid w:val="57340DF9"/>
    <w:rsid w:val="573B55E1"/>
    <w:rsid w:val="583569C2"/>
    <w:rsid w:val="59232F04"/>
    <w:rsid w:val="5B8D1315"/>
    <w:rsid w:val="5C753AFB"/>
    <w:rsid w:val="5CF65AB6"/>
    <w:rsid w:val="5D775307"/>
    <w:rsid w:val="5EA74918"/>
    <w:rsid w:val="5F3B0A42"/>
    <w:rsid w:val="625F17D8"/>
    <w:rsid w:val="65BC336F"/>
    <w:rsid w:val="6AC0763D"/>
    <w:rsid w:val="6BF1034E"/>
    <w:rsid w:val="6E80445D"/>
    <w:rsid w:val="6E8E4C80"/>
    <w:rsid w:val="70EB0D04"/>
    <w:rsid w:val="72F94240"/>
    <w:rsid w:val="74030FC5"/>
    <w:rsid w:val="76564D90"/>
    <w:rsid w:val="76715CCB"/>
    <w:rsid w:val="76F57C8D"/>
    <w:rsid w:val="77CE623E"/>
    <w:rsid w:val="78C052AD"/>
    <w:rsid w:val="79346574"/>
    <w:rsid w:val="79811742"/>
    <w:rsid w:val="7CA06B0F"/>
    <w:rsid w:val="7DF01AEA"/>
    <w:rsid w:val="7E5477C1"/>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rPr>
      <w:rFonts w:eastAsiaTheme="minorEastAsia" w:cstheme="minorBidi"/>
      <w:spacing w:val="0"/>
      <w:kern w:val="0"/>
      <w:sz w:val="24"/>
      <w:szCs w:val="20"/>
      <w:shd w:val="clear" w:color="auto" w:fill="FFFFFF"/>
    </w:rPr>
  </w:style>
  <w:style w:type="paragraph" w:styleId="3">
    <w:name w:val="Body Text Indent"/>
    <w:basedOn w:val="1"/>
    <w:autoRedefine/>
    <w:qFormat/>
    <w:uiPriority w:val="99"/>
    <w:pPr>
      <w:ind w:firstLine="567"/>
    </w:pPr>
    <w:rPr>
      <w:spacing w:val="4"/>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488</Characters>
  <DocSecurity>0</DocSecurity>
  <Lines>0</Lines>
  <Paragraphs>0</Paragraphs>
  <ScaleCrop>false</ScaleCrop>
  <LinksUpToDate>false</LinksUpToDate>
  <CharactersWithSpaces>496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2021-03-22T08:58:00Z</dcterms:created>
  <dcterms:modified xsi:type="dcterms:W3CDTF">2025-05-19T03:34:59Z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2A9A910E83AC4968987926C7995C81A3</vt:lpwstr>
  </property>
  <property fmtid="{D5CDD505-2E9C-101B-9397-08002B2CF9AE}" pid="4" name="KSOTemplateDocerSaveRecord">
    <vt:lpwstr>eyJoZGlkIjoiZjQ5NzJlOWRjZDdmYmVmOTc4Mjc1ODJiZjY5NjQ5ZWIiLCJ1c2VySWQiOiIzMTI0NTk1MDQifQ==</vt:lpwstr>
  </property>
</Properties>
</file>