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注：1、付款方式是否响应、</w:t>
      </w:r>
      <w:r>
        <w:rPr>
          <w:rFonts w:hint="eastAsia" w:ascii="仿宋" w:hAnsi="仿宋" w:eastAsia="仿宋"/>
          <w:highlight w:val="none"/>
        </w:rPr>
        <w:t>计划工期、质保期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 xml:space="preserve">    2、工程质量请填写“合格”或其他。</w:t>
      </w: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>
            <w:pPr>
              <w:pStyle w:val="3"/>
              <w:jc w:val="distribute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>
            <w:pPr>
              <w:pStyle w:val="3"/>
              <w:jc w:val="left"/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>
            <w:pPr>
              <w:pStyle w:val="3"/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4297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2024-07-01T09:25:29Z</dcterms:created>
  <dc:creator>Administrator</dc:creator>
  <cp:lastModifiedBy>陕西中技招标有限公司</cp:lastModifiedBy>
  <dcterms:modified xsi:type="dcterms:W3CDTF">2024-07-01T09:25:32Z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2D0B271C518D44A5B92957D796C79C7D_12</vt:lpwstr>
  </property>
</Properties>
</file>