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版本号：SZT2025-SN-QC-ZC-FW-040520250528002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2024年度土地卫片执法新增宅基地违法图斑调查勘测、地质灾害危险性评估项目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SZT2025-SN-QC-ZC-FW-0405</w:t>
      </w:r>
      <w:r>
        <w:br/>
      </w:r>
      <w:r>
        <w:br/>
      </w:r>
      <w:r>
        <w:br/>
      </w:r>
    </w:p>
    <w:p>
      <w:pPr>
        <w:pStyle w:val="null3"/>
        <w:jc w:val="center"/>
        <w:outlineLvl w:val="2"/>
      </w:pPr>
      <w:r>
        <w:rPr>
          <w:rFonts w:ascii="仿宋_GB2312" w:hAnsi="仿宋_GB2312" w:cs="仿宋_GB2312" w:eastAsia="仿宋_GB2312"/>
          <w:sz w:val="28"/>
          <w:b/>
        </w:rPr>
        <w:t>西安市自然资源和规划局长安分局矿产资源管理站</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委托，拟对</w:t>
      </w:r>
      <w:r>
        <w:rPr>
          <w:rFonts w:ascii="仿宋_GB2312" w:hAnsi="仿宋_GB2312" w:cs="仿宋_GB2312" w:eastAsia="仿宋_GB2312"/>
        </w:rPr>
        <w:t>2024年度土地卫片执法新增宅基地违法图斑调查勘测、地质灾害危险性评估项目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SZT2025-SN-QC-ZC-FW-0405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2024年度土地卫片执法新增宅基地违法图斑调查勘测、地质灾害危险性评估项目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2024年度土地卫片执法新增宅基地违法图斑调查勘测、地质灾害危险性评估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采购包1（调查勘测）：属于专门面向中小企业采购。</w:t>
      </w:r>
    </w:p>
    <w:p>
      <w:pPr>
        <w:pStyle w:val="null3"/>
      </w:pPr>
      <w:r>
        <w:rPr>
          <w:rFonts w:ascii="仿宋_GB2312" w:hAnsi="仿宋_GB2312" w:cs="仿宋_GB2312" w:eastAsia="仿宋_GB2312"/>
        </w:rPr>
        <w:t>采购包2（地质灾害危险性评估）：属于专门面向中小企业采购。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1、供应商要求：供应商须具备测绘主管部门颁发乙级以上（含乙级）测绘资质(专业类别须涵盖本次招标内容)。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1、供应商要求：供应商须具有地质灾害评估和治理工程勘查设计甲级资质。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西安市自然资源和规划局长安分局矿产资源管理站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029-85295468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采购包1：617,500.00元</w:t>
            </w:r>
          </w:p>
          <w:p>
            <w:pPr>
              <w:pStyle w:val="null3"/>
            </w:pPr>
            <w:r>
              <w:rPr>
                <w:rFonts w:ascii="仿宋_GB2312" w:hAnsi="仿宋_GB2312" w:cs="仿宋_GB2312" w:eastAsia="仿宋_GB2312"/>
              </w:rPr>
              <w:t>采购包2：642,500.00元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本项目为2024年度土地卫片执法新增宅基地违法图斑调查勘测、地质灾害危险性评估项目。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617,500.00</w:t>
      </w:r>
    </w:p>
    <w:p>
      <w:pPr>
        <w:pStyle w:val="null3"/>
      </w:pPr>
      <w:r>
        <w:rPr>
          <w:rFonts w:ascii="仿宋_GB2312" w:hAnsi="仿宋_GB2312" w:cs="仿宋_GB2312" w:eastAsia="仿宋_GB2312"/>
        </w:rPr>
        <w:t>采购包最高限价（元）: 617,500.00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2024年度土地卫片执法新增宅基地违法图斑调查勘测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642,500.00</w:t>
      </w:r>
    </w:p>
    <w:p>
      <w:pPr>
        <w:pStyle w:val="null3"/>
      </w:pPr>
      <w:r>
        <w:rPr>
          <w:rFonts w:ascii="仿宋_GB2312" w:hAnsi="仿宋_GB2312" w:cs="仿宋_GB2312" w:eastAsia="仿宋_GB2312"/>
        </w:rPr>
        <w:t>采购包最高限价（元）: 642,500.00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2024年度土地卫片执法新增宅基地违法图斑地质灾害危险性评估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标的名称：2024年度土地卫片执法新增宅基地违法图斑调查勘测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ind w:firstLine="400"/>
              <w:jc w:val="both"/>
            </w:pPr>
            <w:r>
              <w:rPr>
                <w:rFonts w:ascii="仿宋_GB2312" w:hAnsi="仿宋_GB2312" w:cs="仿宋_GB2312" w:eastAsia="仿宋_GB2312"/>
              </w:rPr>
              <w:t>2024</w:t>
            </w:r>
            <w:r>
              <w:rPr>
                <w:rFonts w:ascii="仿宋_GB2312" w:hAnsi="仿宋_GB2312" w:cs="仿宋_GB2312" w:eastAsia="仿宋_GB2312"/>
              </w:rPr>
              <w:t>年卫片新增农村村民建住宅图斑项目共涉及</w:t>
            </w:r>
            <w:r>
              <w:rPr>
                <w:rFonts w:ascii="仿宋_GB2312" w:hAnsi="仿宋_GB2312" w:cs="仿宋_GB2312" w:eastAsia="仿宋_GB2312"/>
              </w:rPr>
              <w:t>13</w:t>
            </w:r>
            <w:r>
              <w:rPr>
                <w:rFonts w:ascii="仿宋_GB2312" w:hAnsi="仿宋_GB2312" w:cs="仿宋_GB2312" w:eastAsia="仿宋_GB2312"/>
              </w:rPr>
              <w:t>个街办，共计</w:t>
            </w:r>
            <w:r>
              <w:rPr>
                <w:rFonts w:ascii="仿宋_GB2312" w:hAnsi="仿宋_GB2312" w:cs="仿宋_GB2312" w:eastAsia="仿宋_GB2312"/>
              </w:rPr>
              <w:t>137</w:t>
            </w:r>
            <w:r>
              <w:rPr>
                <w:rFonts w:ascii="仿宋_GB2312" w:hAnsi="仿宋_GB2312" w:cs="仿宋_GB2312" w:eastAsia="仿宋_GB2312"/>
              </w:rPr>
              <w:t>个图斑。实施项目范围的相关测量工作，配合整个项目的土地报批提供相关测量数据、资料等。</w:t>
            </w:r>
          </w:p>
          <w:p>
            <w:pPr>
              <w:pStyle w:val="null3"/>
              <w:jc w:val="both"/>
            </w:pPr>
            <w:r>
              <w:rPr>
                <w:rFonts w:ascii="仿宋_GB2312" w:hAnsi="仿宋_GB2312" w:cs="仿宋_GB2312" w:eastAsia="仿宋_GB2312"/>
              </w:rPr>
              <w:t>二、</w:t>
            </w:r>
            <w:r>
              <w:rPr>
                <w:rFonts w:ascii="仿宋_GB2312" w:hAnsi="仿宋_GB2312" w:cs="仿宋_GB2312" w:eastAsia="仿宋_GB2312"/>
              </w:rPr>
              <w:t>项目任务</w:t>
            </w:r>
          </w:p>
          <w:p>
            <w:pPr>
              <w:pStyle w:val="null3"/>
              <w:jc w:val="both"/>
            </w:pPr>
            <w:r>
              <w:rPr>
                <w:rFonts w:ascii="仿宋_GB2312" w:hAnsi="仿宋_GB2312" w:cs="仿宋_GB2312" w:eastAsia="仿宋_GB2312"/>
              </w:rPr>
              <w:t>2.1</w:t>
            </w:r>
            <w:r>
              <w:rPr>
                <w:rFonts w:ascii="仿宋_GB2312" w:hAnsi="仿宋_GB2312" w:cs="仿宋_GB2312" w:eastAsia="仿宋_GB2312"/>
              </w:rPr>
              <w:t>测绘内容</w:t>
            </w:r>
          </w:p>
          <w:p>
            <w:pPr>
              <w:pStyle w:val="null3"/>
              <w:ind w:firstLine="400"/>
              <w:jc w:val="both"/>
            </w:pPr>
            <w:r>
              <w:rPr>
                <w:rFonts w:ascii="仿宋_GB2312" w:hAnsi="仿宋_GB2312" w:cs="仿宋_GB2312" w:eastAsia="仿宋_GB2312"/>
              </w:rPr>
              <w:t>结合项目的土地报批，前置测量技术支撑工作需要，确定本次采购服务内容（包含但不限于）：</w:t>
            </w:r>
          </w:p>
          <w:p>
            <w:pPr>
              <w:pStyle w:val="null3"/>
              <w:jc w:val="both"/>
            </w:pPr>
            <w:r>
              <w:rPr>
                <w:rFonts w:ascii="仿宋_GB2312" w:hAnsi="仿宋_GB2312" w:cs="仿宋_GB2312" w:eastAsia="仿宋_GB2312"/>
              </w:rPr>
              <w:t>1.</w:t>
            </w:r>
            <w:r>
              <w:rPr>
                <w:rFonts w:ascii="仿宋_GB2312" w:hAnsi="仿宋_GB2312" w:cs="仿宋_GB2312" w:eastAsia="仿宋_GB2312"/>
              </w:rPr>
              <w:t>项目图斑核实测量；</w:t>
            </w:r>
          </w:p>
          <w:p>
            <w:pPr>
              <w:pStyle w:val="null3"/>
              <w:jc w:val="both"/>
            </w:pPr>
            <w:r>
              <w:rPr>
                <w:rFonts w:ascii="仿宋_GB2312" w:hAnsi="仿宋_GB2312" w:cs="仿宋_GB2312" w:eastAsia="仿宋_GB2312"/>
              </w:rPr>
              <w:t>2.</w:t>
            </w:r>
            <w:r>
              <w:rPr>
                <w:rFonts w:ascii="仿宋_GB2312" w:hAnsi="仿宋_GB2312" w:cs="仿宋_GB2312" w:eastAsia="仿宋_GB2312"/>
              </w:rPr>
              <w:t>土地勘测定界报告；</w:t>
            </w:r>
          </w:p>
          <w:p>
            <w:pPr>
              <w:pStyle w:val="null3"/>
              <w:jc w:val="both"/>
            </w:pPr>
            <w:r>
              <w:rPr>
                <w:rFonts w:ascii="仿宋_GB2312" w:hAnsi="仿宋_GB2312" w:cs="仿宋_GB2312" w:eastAsia="仿宋_GB2312"/>
              </w:rPr>
              <w:t>3.</w:t>
            </w:r>
            <w:r>
              <w:rPr>
                <w:rFonts w:ascii="仿宋_GB2312" w:hAnsi="仿宋_GB2312" w:cs="仿宋_GB2312" w:eastAsia="仿宋_GB2312"/>
              </w:rPr>
              <w:t>规划附图；</w:t>
            </w:r>
          </w:p>
          <w:p>
            <w:pPr>
              <w:pStyle w:val="null3"/>
              <w:jc w:val="both"/>
            </w:pPr>
            <w:r>
              <w:rPr>
                <w:rFonts w:ascii="仿宋_GB2312" w:hAnsi="仿宋_GB2312" w:cs="仿宋_GB2312" w:eastAsia="仿宋_GB2312"/>
              </w:rPr>
              <w:t>4.</w:t>
            </w:r>
            <w:r>
              <w:rPr>
                <w:rFonts w:ascii="仿宋_GB2312" w:hAnsi="仿宋_GB2312" w:cs="仿宋_GB2312" w:eastAsia="仿宋_GB2312"/>
              </w:rPr>
              <w:t>地类分布图；</w:t>
            </w:r>
          </w:p>
          <w:p>
            <w:pPr>
              <w:pStyle w:val="null3"/>
              <w:jc w:val="both"/>
            </w:pPr>
            <w:r>
              <w:rPr>
                <w:rFonts w:ascii="仿宋_GB2312" w:hAnsi="仿宋_GB2312" w:cs="仿宋_GB2312" w:eastAsia="仿宋_GB2312"/>
              </w:rPr>
              <w:t>5.</w:t>
            </w:r>
            <w:r>
              <w:rPr>
                <w:rFonts w:ascii="仿宋_GB2312" w:hAnsi="仿宋_GB2312" w:cs="仿宋_GB2312" w:eastAsia="仿宋_GB2312"/>
              </w:rPr>
              <w:t>土地利用现状图；</w:t>
            </w:r>
          </w:p>
          <w:p>
            <w:pPr>
              <w:pStyle w:val="null3"/>
              <w:jc w:val="both"/>
            </w:pPr>
            <w:r>
              <w:rPr>
                <w:rFonts w:ascii="仿宋_GB2312" w:hAnsi="仿宋_GB2312" w:cs="仿宋_GB2312" w:eastAsia="仿宋_GB2312"/>
              </w:rPr>
              <w:t>6.</w:t>
            </w:r>
            <w:r>
              <w:rPr>
                <w:rFonts w:ascii="仿宋_GB2312" w:hAnsi="仿宋_GB2312" w:cs="仿宋_GB2312" w:eastAsia="仿宋_GB2312"/>
              </w:rPr>
              <w:t>矢量（</w:t>
            </w:r>
            <w:r>
              <w:rPr>
                <w:rFonts w:ascii="仿宋_GB2312" w:hAnsi="仿宋_GB2312" w:cs="仿宋_GB2312" w:eastAsia="仿宋_GB2312"/>
              </w:rPr>
              <w:t>SHP</w:t>
            </w:r>
            <w:r>
              <w:rPr>
                <w:rFonts w:ascii="仿宋_GB2312" w:hAnsi="仿宋_GB2312" w:cs="仿宋_GB2312" w:eastAsia="仿宋_GB2312"/>
              </w:rPr>
              <w:t>）数据；</w:t>
            </w:r>
          </w:p>
          <w:p>
            <w:pPr>
              <w:pStyle w:val="null3"/>
              <w:jc w:val="both"/>
            </w:pPr>
            <w:r>
              <w:rPr>
                <w:rFonts w:ascii="仿宋_GB2312" w:hAnsi="仿宋_GB2312" w:cs="仿宋_GB2312" w:eastAsia="仿宋_GB2312"/>
              </w:rPr>
              <w:t>7.</w:t>
            </w:r>
            <w:r>
              <w:rPr>
                <w:rFonts w:ascii="仿宋_GB2312" w:hAnsi="仿宋_GB2312" w:cs="仿宋_GB2312" w:eastAsia="仿宋_GB2312"/>
              </w:rPr>
              <w:t>电子报盘。</w:t>
            </w:r>
          </w:p>
          <w:p>
            <w:pPr>
              <w:pStyle w:val="null3"/>
              <w:jc w:val="both"/>
            </w:pPr>
            <w:r>
              <w:rPr>
                <w:rFonts w:ascii="仿宋_GB2312" w:hAnsi="仿宋_GB2312" w:cs="仿宋_GB2312" w:eastAsia="仿宋_GB2312"/>
              </w:rPr>
              <w:t>三、主要技术指标</w:t>
            </w:r>
          </w:p>
          <w:p>
            <w:pPr>
              <w:pStyle w:val="null3"/>
              <w:jc w:val="both"/>
            </w:pPr>
            <w:r>
              <w:rPr>
                <w:rFonts w:ascii="仿宋_GB2312" w:hAnsi="仿宋_GB2312" w:cs="仿宋_GB2312" w:eastAsia="仿宋_GB2312"/>
              </w:rPr>
              <w:t>所有业务均需按照国家标准、规范、省市规定，依据测绘成果质量检查与验收要求保质保量完成。</w:t>
            </w:r>
          </w:p>
          <w:p>
            <w:pPr>
              <w:pStyle w:val="null3"/>
              <w:jc w:val="both"/>
            </w:pPr>
            <w:r>
              <w:rPr>
                <w:rFonts w:ascii="仿宋_GB2312" w:hAnsi="仿宋_GB2312" w:cs="仿宋_GB2312" w:eastAsia="仿宋_GB2312"/>
              </w:rPr>
              <w:t>技术依据：</w:t>
            </w:r>
          </w:p>
          <w:tbl>
            <w:tblPr>
              <w:tblInd w:type="dxa" w:w="255"/>
              <w:tblBorders>
                <w:top w:val="none" w:color="000000" w:sz="4"/>
                <w:left w:val="none" w:color="000000" w:sz="4"/>
                <w:bottom w:val="none" w:color="000000" w:sz="4"/>
                <w:right w:val="none" w:color="000000" w:sz="4"/>
                <w:insideH w:val="none"/>
                <w:insideV w:val="none"/>
              </w:tblBorders>
            </w:tblPr>
            <w:tblGrid>
              <w:gridCol w:w="232"/>
              <w:gridCol w:w="1585"/>
              <w:gridCol w:w="736"/>
            </w:tblGrid>
            <w:tr>
              <w:tc>
                <w:tcPr>
                  <w:tcW w:type="dxa" w:w="23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序号</w:t>
                  </w:r>
                </w:p>
              </w:tc>
              <w:tc>
                <w:tcPr>
                  <w:tcW w:type="dxa" w:w="1585"/>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标准名称</w:t>
                  </w:r>
                </w:p>
              </w:tc>
              <w:tc>
                <w:tcPr>
                  <w:tcW w:type="dxa" w:w="736"/>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标准号</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1</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土地勘测定界规程</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TD/T 1008-2007</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2</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土地利用现状分类</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GB/T 21010-2017</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3</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地籍调查规程</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GD/T 42547-2023</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4</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城镇地籍调查规程</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TD 1001-2012</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5</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基础地理信息要素分类与代码</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GB/T 13923-2022</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6</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500</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1000</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2000</w:t>
                  </w:r>
                  <w:r>
                    <w:rPr>
                      <w:rFonts w:ascii="仿宋_GB2312" w:hAnsi="仿宋_GB2312" w:cs="仿宋_GB2312" w:eastAsia="仿宋_GB2312"/>
                      <w:sz w:val="19"/>
                    </w:rPr>
                    <w:t>地形图图式》</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GB/T 20257.1-2017</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7</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500 1,1 000 1,2 000</w:t>
                  </w:r>
                  <w:r>
                    <w:rPr>
                      <w:rFonts w:ascii="仿宋_GB2312" w:hAnsi="仿宋_GB2312" w:cs="仿宋_GB2312" w:eastAsia="仿宋_GB2312"/>
                      <w:sz w:val="19"/>
                    </w:rPr>
                    <w:t>外业数字测图技术规程</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GB/T 14912-2017</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8</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国家基本比例尺地形图分幅与编号</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GB/T 13989-2012</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9</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全球定位系统（</w:t>
                  </w:r>
                  <w:r>
                    <w:rPr>
                      <w:rFonts w:ascii="仿宋_GB2312" w:hAnsi="仿宋_GB2312" w:cs="仿宋_GB2312" w:eastAsia="仿宋_GB2312"/>
                      <w:sz w:val="19"/>
                    </w:rPr>
                    <w:t>GPS</w:t>
                  </w:r>
                  <w:r>
                    <w:rPr>
                      <w:rFonts w:ascii="仿宋_GB2312" w:hAnsi="仿宋_GB2312" w:cs="仿宋_GB2312" w:eastAsia="仿宋_GB2312"/>
                      <w:sz w:val="19"/>
                    </w:rPr>
                    <w:t>）测量规范</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GB/T 18314-2016</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10</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数字测绘成果质量检查与验收</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GB/T 18316-2008</w:t>
                  </w:r>
                </w:p>
              </w:tc>
            </w:tr>
            <w:tr>
              <w:tc>
                <w:tcPr>
                  <w:tcW w:type="dxa" w:w="23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11</w:t>
                  </w:r>
                </w:p>
              </w:tc>
              <w:tc>
                <w:tcPr>
                  <w:tcW w:type="dxa" w:w="158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测绘成果质量检查与验收</w:t>
                  </w:r>
                </w:p>
              </w:tc>
              <w:tc>
                <w:tcPr>
                  <w:tcW w:type="dxa" w:w="73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19"/>
                    </w:rPr>
                    <w:t>GB/T 24356-2023</w:t>
                  </w:r>
                </w:p>
              </w:tc>
            </w:tr>
          </w:tbl>
          <w:p>
            <w:pPr>
              <w:pStyle w:val="null3"/>
              <w:jc w:val="both"/>
            </w:pPr>
            <w:r>
              <w:rPr>
                <w:rFonts w:ascii="仿宋_GB2312" w:hAnsi="仿宋_GB2312" w:cs="仿宋_GB2312" w:eastAsia="仿宋_GB2312"/>
              </w:rPr>
              <w:t>四、提交成果内容</w:t>
            </w:r>
          </w:p>
          <w:p>
            <w:pPr>
              <w:pStyle w:val="null3"/>
              <w:jc w:val="both"/>
            </w:pPr>
            <w:r>
              <w:rPr>
                <w:rFonts w:ascii="仿宋_GB2312" w:hAnsi="仿宋_GB2312" w:cs="仿宋_GB2312" w:eastAsia="仿宋_GB2312"/>
              </w:rPr>
              <w:t>1</w:t>
            </w:r>
            <w:r>
              <w:rPr>
                <w:rFonts w:ascii="仿宋_GB2312" w:hAnsi="仿宋_GB2312" w:cs="仿宋_GB2312" w:eastAsia="仿宋_GB2312"/>
              </w:rPr>
              <w:t>、各种图件纸质成果</w:t>
            </w:r>
          </w:p>
          <w:p>
            <w:pPr>
              <w:pStyle w:val="null3"/>
              <w:jc w:val="both"/>
            </w:pPr>
            <w:r>
              <w:rPr>
                <w:rFonts w:ascii="仿宋_GB2312" w:hAnsi="仿宋_GB2312" w:cs="仿宋_GB2312" w:eastAsia="仿宋_GB2312"/>
              </w:rPr>
              <w:t>2</w:t>
            </w:r>
            <w:r>
              <w:rPr>
                <w:rFonts w:ascii="仿宋_GB2312" w:hAnsi="仿宋_GB2312" w:cs="仿宋_GB2312" w:eastAsia="仿宋_GB2312"/>
              </w:rPr>
              <w:t>、坐标成果文件</w:t>
            </w:r>
          </w:p>
          <w:p>
            <w:pPr>
              <w:pStyle w:val="null3"/>
              <w:jc w:val="both"/>
            </w:pPr>
            <w:r>
              <w:rPr>
                <w:rFonts w:ascii="仿宋_GB2312" w:hAnsi="仿宋_GB2312" w:cs="仿宋_GB2312" w:eastAsia="仿宋_GB2312"/>
              </w:rPr>
              <w:t>3</w:t>
            </w:r>
            <w:r>
              <w:rPr>
                <w:rFonts w:ascii="仿宋_GB2312" w:hAnsi="仿宋_GB2312" w:cs="仿宋_GB2312" w:eastAsia="仿宋_GB2312"/>
              </w:rPr>
              <w:t>、测量报告</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、所需成果的数据格式文件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标的名称：2024年度土地卫片执法新增宅基地违法图斑地质灾害危险性评估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按照《地质灾害危险性评估规范》（</w:t>
            </w:r>
            <w:r>
              <w:rPr>
                <w:rFonts w:ascii="仿宋_GB2312" w:hAnsi="仿宋_GB2312" w:cs="仿宋_GB2312" w:eastAsia="仿宋_GB2312"/>
                <w:sz w:val="21"/>
              </w:rPr>
              <w:t>GB/T 40112-2021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场地</w:t>
            </w:r>
            <w:r>
              <w:rPr>
                <w:rFonts w:ascii="仿宋_GB2312" w:hAnsi="仿宋_GB2312" w:cs="仿宋_GB2312" w:eastAsia="仿宋_GB2312"/>
                <w:sz w:val="21"/>
              </w:rPr>
              <w:t>地质灾害危险性评估</w:t>
            </w:r>
            <w:r>
              <w:rPr>
                <w:rFonts w:ascii="仿宋_GB2312" w:hAnsi="仿宋_GB2312" w:cs="仿宋_GB2312" w:eastAsia="仿宋_GB2312"/>
                <w:sz w:val="21"/>
              </w:rPr>
              <w:t>技术要求（试行）</w:t>
            </w:r>
            <w:r>
              <w:rPr>
                <w:rFonts w:ascii="仿宋_GB2312" w:hAnsi="仿宋_GB2312" w:cs="仿宋_GB2312" w:eastAsia="仿宋_GB2312"/>
                <w:sz w:val="21"/>
              </w:rPr>
              <w:t>》（</w:t>
            </w:r>
            <w:r>
              <w:rPr>
                <w:rFonts w:ascii="仿宋_GB2312" w:hAnsi="仿宋_GB2312" w:cs="仿宋_GB2312" w:eastAsia="仿宋_GB2312"/>
                <w:sz w:val="21"/>
              </w:rPr>
              <w:t>T/CAGHP 025-2018</w:t>
            </w:r>
            <w:r>
              <w:rPr>
                <w:rFonts w:ascii="仿宋_GB2312" w:hAnsi="仿宋_GB2312" w:cs="仿宋_GB2312" w:eastAsia="仿宋_GB2312"/>
                <w:sz w:val="21"/>
              </w:rPr>
              <w:t>）</w:t>
            </w:r>
            <w:r>
              <w:rPr>
                <w:rFonts w:ascii="仿宋_GB2312" w:hAnsi="仿宋_GB2312" w:cs="仿宋_GB2312" w:eastAsia="仿宋_GB2312"/>
                <w:sz w:val="21"/>
              </w:rPr>
              <w:t>等技术标准，对评估区内地质灾害危险性进行现状评估；对工程建设引发地质灾害及建设工程遭受地质灾害的危险性进行预测评估，进而对评估区域进行地质灾害</w:t>
            </w:r>
            <w:r>
              <w:rPr>
                <w:rFonts w:ascii="仿宋_GB2312" w:hAnsi="仿宋_GB2312" w:cs="仿宋_GB2312" w:eastAsia="仿宋_GB2312"/>
                <w:sz w:val="21"/>
              </w:rPr>
              <w:t>危险性综合分区评估，并对建设用地适宜性进行评价，最后提出防治地质灾害的措施与建议。</w:t>
            </w:r>
          </w:p>
          <w:p>
            <w:pPr>
              <w:pStyle w:val="null3"/>
              <w:ind w:firstLine="420"/>
              <w:jc w:val="both"/>
            </w:pPr>
            <w:r>
              <w:rPr>
                <w:rFonts w:ascii="仿宋_GB2312" w:hAnsi="仿宋_GB2312" w:cs="仿宋_GB2312" w:eastAsia="仿宋_GB2312"/>
                <w:sz w:val="21"/>
              </w:rPr>
              <w:t>项目范围：</w:t>
            </w:r>
            <w:r>
              <w:rPr>
                <w:rFonts w:ascii="仿宋_GB2312" w:hAnsi="仿宋_GB2312" w:cs="仿宋_GB2312" w:eastAsia="仿宋_GB2312"/>
                <w:sz w:val="21"/>
              </w:rPr>
              <w:t>2024</w:t>
            </w:r>
            <w:r>
              <w:rPr>
                <w:rFonts w:ascii="仿宋_GB2312" w:hAnsi="仿宋_GB2312" w:cs="仿宋_GB2312" w:eastAsia="仿宋_GB2312"/>
                <w:sz w:val="21"/>
              </w:rPr>
              <w:t>年度土地卫片执法新增宅基地违法图斑地质灾害危险性评估项目涉及</w:t>
            </w:r>
            <w:r>
              <w:rPr>
                <w:rFonts w:ascii="仿宋_GB2312" w:hAnsi="仿宋_GB2312" w:cs="仿宋_GB2312" w:eastAsia="仿宋_GB2312"/>
                <w:sz w:val="21"/>
              </w:rPr>
              <w:t>13</w:t>
            </w:r>
            <w:r>
              <w:rPr>
                <w:rFonts w:ascii="仿宋_GB2312" w:hAnsi="仿宋_GB2312" w:cs="仿宋_GB2312" w:eastAsia="仿宋_GB2312"/>
                <w:sz w:val="21"/>
              </w:rPr>
              <w:t>个街办，</w:t>
            </w:r>
            <w:r>
              <w:rPr>
                <w:rFonts w:ascii="仿宋_GB2312" w:hAnsi="仿宋_GB2312" w:cs="仿宋_GB2312" w:eastAsia="仿宋_GB2312"/>
                <w:sz w:val="21"/>
              </w:rPr>
              <w:t>137</w:t>
            </w:r>
            <w:r>
              <w:rPr>
                <w:rFonts w:ascii="仿宋_GB2312" w:hAnsi="仿宋_GB2312" w:cs="仿宋_GB2312" w:eastAsia="仿宋_GB2312"/>
                <w:sz w:val="21"/>
              </w:rPr>
              <w:t>个图斑中位于地质灾害易发区的图斑。</w:t>
            </w:r>
          </w:p>
          <w:p>
            <w:pPr>
              <w:pStyle w:val="null3"/>
              <w:jc w:val="both"/>
            </w:pPr>
            <w:r>
              <w:rPr>
                <w:rFonts w:ascii="仿宋_GB2312" w:hAnsi="仿宋_GB2312" w:cs="仿宋_GB2312" w:eastAsia="仿宋_GB2312"/>
                <w:sz w:val="21"/>
              </w:rPr>
              <w:t>二、项目任务</w:t>
            </w:r>
          </w:p>
          <w:p>
            <w:pPr>
              <w:pStyle w:val="null3"/>
              <w:ind w:firstLine="420"/>
              <w:jc w:val="both"/>
            </w:pPr>
            <w:r>
              <w:rPr>
                <w:rFonts w:ascii="仿宋_GB2312" w:hAnsi="仿宋_GB2312" w:cs="仿宋_GB2312" w:eastAsia="仿宋_GB2312"/>
                <w:sz w:val="21"/>
              </w:rPr>
              <w:t>本次评估工作的主要任务是在充分搜集利用已有地质、气象、水文资料的基础上，通过调查和分析研究项目涉及图斑及影响范围内地质环境条件基本特征，查明建设场地地质灾害的种类、分布情况及其特征，分析研究地质灾害的形成机制和发生的原因，根据地质灾害发育程度和危害程度，对评估区内地质灾害危险性进行现状评估；对工程建设引发地质灾害及建设工程遭受地质灾害的危险性进行预测评估，进而对评估区域进行地质灾害危险性综合分区评估，并对建设用地适宜性进行评价，最后提出防治地质灾害的措施与建议。为建设工程地质灾害防治、土地审批等提供初步依据，保障工程建设及运营安全，从源头上减轻人为不合理工程活动引发地质灾害而造成的人员伤亡和财产损失。地质灾害评估并出具评估报告，并按照主管部门的有关规定组通过专家审查。</w:t>
            </w:r>
          </w:p>
          <w:p>
            <w:pPr>
              <w:pStyle w:val="null3"/>
              <w:jc w:val="both"/>
            </w:pPr>
            <w:r>
              <w:rPr>
                <w:rFonts w:ascii="仿宋_GB2312" w:hAnsi="仿宋_GB2312" w:cs="仿宋_GB2312" w:eastAsia="仿宋_GB2312"/>
                <w:sz w:val="21"/>
              </w:rPr>
              <w:t>三、主要技术指标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、技术依据</w:t>
            </w:r>
          </w:p>
          <w:p>
            <w:pPr>
              <w:pStyle w:val="null3"/>
              <w:jc w:val="both"/>
            </w:pPr>
            <w:r>
              <w:rPr>
                <w:rFonts w:ascii="仿宋_GB2312" w:hAnsi="仿宋_GB2312" w:cs="仿宋_GB2312" w:eastAsia="仿宋_GB2312"/>
                <w:sz w:val="21"/>
              </w:rPr>
              <w:t>（一）政策法规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）《地质灾害防治条例》（国务院</w:t>
            </w:r>
            <w:r>
              <w:rPr>
                <w:rFonts w:ascii="仿宋_GB2312" w:hAnsi="仿宋_GB2312" w:cs="仿宋_GB2312" w:eastAsia="仿宋_GB2312"/>
                <w:sz w:val="21"/>
              </w:rPr>
              <w:t>2003</w:t>
            </w:r>
            <w:r>
              <w:rPr>
                <w:rFonts w:ascii="仿宋_GB2312" w:hAnsi="仿宋_GB2312" w:cs="仿宋_GB2312" w:eastAsia="仿宋_GB2312"/>
                <w:sz w:val="21"/>
              </w:rPr>
              <w:t>年第</w:t>
            </w:r>
            <w:r>
              <w:rPr>
                <w:rFonts w:ascii="仿宋_GB2312" w:hAnsi="仿宋_GB2312" w:cs="仿宋_GB2312" w:eastAsia="仿宋_GB2312"/>
                <w:sz w:val="21"/>
              </w:rPr>
              <w:t>394</w:t>
            </w:r>
            <w:r>
              <w:rPr>
                <w:rFonts w:ascii="仿宋_GB2312" w:hAnsi="仿宋_GB2312" w:cs="仿宋_GB2312" w:eastAsia="仿宋_GB2312"/>
                <w:sz w:val="21"/>
              </w:rPr>
              <w:t>号令）；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）《国务院关于加强地质灾害防治工作的决定》（国发〔</w:t>
            </w:r>
            <w:r>
              <w:rPr>
                <w:rFonts w:ascii="仿宋_GB2312" w:hAnsi="仿宋_GB2312" w:cs="仿宋_GB2312" w:eastAsia="仿宋_GB2312"/>
                <w:sz w:val="21"/>
              </w:rPr>
              <w:t>2011</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）国土资源部《关于加强地质灾害危险性评估工作的通知》（国土资发〔</w:t>
            </w:r>
            <w:r>
              <w:rPr>
                <w:rFonts w:ascii="仿宋_GB2312" w:hAnsi="仿宋_GB2312" w:cs="仿宋_GB2312" w:eastAsia="仿宋_GB2312"/>
                <w:sz w:val="21"/>
              </w:rPr>
              <w:t>2004</w:t>
            </w:r>
            <w:r>
              <w:rPr>
                <w:rFonts w:ascii="仿宋_GB2312" w:hAnsi="仿宋_GB2312" w:cs="仿宋_GB2312" w:eastAsia="仿宋_GB2312"/>
                <w:sz w:val="21"/>
              </w:rPr>
              <w:t>〕</w:t>
            </w:r>
            <w:r>
              <w:rPr>
                <w:rFonts w:ascii="仿宋_GB2312" w:hAnsi="仿宋_GB2312" w:cs="仿宋_GB2312" w:eastAsia="仿宋_GB2312"/>
                <w:sz w:val="21"/>
              </w:rPr>
              <w:t>69</w:t>
            </w:r>
            <w:r>
              <w:rPr>
                <w:rFonts w:ascii="仿宋_GB2312" w:hAnsi="仿宋_GB2312" w:cs="仿宋_GB2312" w:eastAsia="仿宋_GB2312"/>
                <w:sz w:val="21"/>
              </w:rPr>
              <w:t>号文）；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）《地质灾害防治单位资质管理办法》（自然资源部第</w:t>
            </w:r>
            <w:r>
              <w:rPr>
                <w:rFonts w:ascii="仿宋_GB2312" w:hAnsi="仿宋_GB2312" w:cs="仿宋_GB2312" w:eastAsia="仿宋_GB2312"/>
                <w:sz w:val="21"/>
              </w:rPr>
              <w:t>8</w:t>
            </w:r>
            <w:r>
              <w:rPr>
                <w:rFonts w:ascii="仿宋_GB2312" w:hAnsi="仿宋_GB2312" w:cs="仿宋_GB2312" w:eastAsia="仿宋_GB2312"/>
                <w:sz w:val="21"/>
              </w:rPr>
              <w:t>号令）；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）《陕西省地质灾害防治条例》（陕西省人大常委会公告〔十二届〕第四十八号，</w:t>
            </w:r>
            <w:r>
              <w:rPr>
                <w:rFonts w:ascii="仿宋_GB2312" w:hAnsi="仿宋_GB2312" w:cs="仿宋_GB2312" w:eastAsia="仿宋_GB2312"/>
                <w:sz w:val="21"/>
              </w:rPr>
              <w:t>2017</w:t>
            </w:r>
            <w:r>
              <w:rPr>
                <w:rFonts w:ascii="仿宋_GB2312" w:hAnsi="仿宋_GB2312" w:cs="仿宋_GB2312" w:eastAsia="仿宋_GB2312"/>
                <w:sz w:val="21"/>
              </w:rPr>
              <w:t>年</w:t>
            </w:r>
            <w:r>
              <w:rPr>
                <w:rFonts w:ascii="仿宋_GB2312" w:hAnsi="仿宋_GB2312" w:cs="仿宋_GB2312" w:eastAsia="仿宋_GB2312"/>
                <w:sz w:val="21"/>
              </w:rPr>
              <w:t>9</w:t>
            </w:r>
            <w:r>
              <w:rPr>
                <w:rFonts w:ascii="仿宋_GB2312" w:hAnsi="仿宋_GB2312" w:cs="仿宋_GB2312" w:eastAsia="仿宋_GB2312"/>
                <w:sz w:val="21"/>
              </w:rPr>
              <w:t>月</w:t>
            </w:r>
            <w:r>
              <w:rPr>
                <w:rFonts w:ascii="仿宋_GB2312" w:hAnsi="仿宋_GB2312" w:cs="仿宋_GB2312" w:eastAsia="仿宋_GB2312"/>
                <w:sz w:val="21"/>
              </w:rPr>
              <w:t>29</w:t>
            </w:r>
            <w:r>
              <w:rPr>
                <w:rFonts w:ascii="仿宋_GB2312" w:hAnsi="仿宋_GB2312" w:cs="仿宋_GB2312" w:eastAsia="仿宋_GB2312"/>
                <w:sz w:val="21"/>
              </w:rPr>
              <w:t>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）《陕西省人民政府关于贯彻国务院加强地质灾害防治工作决定的实施意见》（陕政发〔</w:t>
            </w:r>
            <w:r>
              <w:rPr>
                <w:rFonts w:ascii="仿宋_GB2312" w:hAnsi="仿宋_GB2312" w:cs="仿宋_GB2312" w:eastAsia="仿宋_GB2312"/>
                <w:sz w:val="21"/>
              </w:rPr>
              <w:t>2011</w:t>
            </w:r>
            <w:r>
              <w:rPr>
                <w:rFonts w:ascii="仿宋_GB2312" w:hAnsi="仿宋_GB2312" w:cs="仿宋_GB2312" w:eastAsia="仿宋_GB2312"/>
                <w:sz w:val="21"/>
              </w:rPr>
              <w:t>〕</w:t>
            </w:r>
            <w:r>
              <w:rPr>
                <w:rFonts w:ascii="仿宋_GB2312" w:hAnsi="仿宋_GB2312" w:cs="仿宋_GB2312" w:eastAsia="仿宋_GB2312"/>
                <w:sz w:val="21"/>
              </w:rPr>
              <w:t>59</w:t>
            </w:r>
            <w:r>
              <w:rPr>
                <w:rFonts w:ascii="仿宋_GB2312" w:hAnsi="仿宋_GB2312" w:cs="仿宋_GB2312" w:eastAsia="仿宋_GB2312"/>
                <w:sz w:val="21"/>
              </w:rPr>
              <w:t>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）《陕西省工程建设活动引发地质灾害防治办法》（陕西省人民政府</w:t>
            </w:r>
            <w:r>
              <w:rPr>
                <w:rFonts w:ascii="仿宋_GB2312" w:hAnsi="仿宋_GB2312" w:cs="仿宋_GB2312" w:eastAsia="仿宋_GB2312"/>
                <w:sz w:val="21"/>
              </w:rPr>
              <w:t>2017</w:t>
            </w:r>
            <w:r>
              <w:rPr>
                <w:rFonts w:ascii="仿宋_GB2312" w:hAnsi="仿宋_GB2312" w:cs="仿宋_GB2312" w:eastAsia="仿宋_GB2312"/>
                <w:sz w:val="21"/>
              </w:rPr>
              <w:t>年第</w:t>
            </w:r>
            <w:r>
              <w:rPr>
                <w:rFonts w:ascii="仿宋_GB2312" w:hAnsi="仿宋_GB2312" w:cs="仿宋_GB2312" w:eastAsia="仿宋_GB2312"/>
                <w:sz w:val="21"/>
              </w:rPr>
              <w:t>205</w:t>
            </w:r>
            <w:r>
              <w:rPr>
                <w:rFonts w:ascii="仿宋_GB2312" w:hAnsi="仿宋_GB2312" w:cs="仿宋_GB2312" w:eastAsia="仿宋_GB2312"/>
                <w:sz w:val="21"/>
              </w:rPr>
              <w:t>号令）；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）陕西省国土资源厅《关于进一步加强地质灾害危险性评估管理工作的通知》（陕国土资环发〔</w:t>
            </w:r>
            <w:r>
              <w:rPr>
                <w:rFonts w:ascii="仿宋_GB2312" w:hAnsi="仿宋_GB2312" w:cs="仿宋_GB2312" w:eastAsia="仿宋_GB2312"/>
                <w:sz w:val="21"/>
              </w:rPr>
              <w:t>2016</w:t>
            </w:r>
            <w:r>
              <w:rPr>
                <w:rFonts w:ascii="仿宋_GB2312" w:hAnsi="仿宋_GB2312" w:cs="仿宋_GB2312" w:eastAsia="仿宋_GB2312"/>
                <w:sz w:val="21"/>
              </w:rPr>
              <w:t>〕</w:t>
            </w:r>
            <w:r>
              <w:rPr>
                <w:rFonts w:ascii="仿宋_GB2312" w:hAnsi="仿宋_GB2312" w:cs="仿宋_GB2312" w:eastAsia="仿宋_GB2312"/>
                <w:sz w:val="21"/>
              </w:rPr>
              <w:t>37</w:t>
            </w:r>
            <w:r>
              <w:rPr>
                <w:rFonts w:ascii="仿宋_GB2312" w:hAnsi="仿宋_GB2312" w:cs="仿宋_GB2312" w:eastAsia="仿宋_GB2312"/>
                <w:sz w:val="21"/>
              </w:rPr>
              <w:t>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）陕西省国土资源厅《关于加强地质环境项目资料管理的通知》（陕国土资环发〔</w:t>
            </w:r>
            <w:r>
              <w:rPr>
                <w:rFonts w:ascii="仿宋_GB2312" w:hAnsi="仿宋_GB2312" w:cs="仿宋_GB2312" w:eastAsia="仿宋_GB2312"/>
                <w:sz w:val="21"/>
              </w:rPr>
              <w:t>2011</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）《西安市地质灾害防治“十四五”规划》西安市人民政府，</w:t>
            </w:r>
            <w:r>
              <w:rPr>
                <w:rFonts w:ascii="仿宋_GB2312" w:hAnsi="仿宋_GB2312" w:cs="仿宋_GB2312" w:eastAsia="仿宋_GB2312"/>
                <w:sz w:val="21"/>
              </w:rPr>
              <w:t>2021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）《西安市长安区地质灾害防治“十四五”规划（</w:t>
            </w:r>
            <w:r>
              <w:rPr>
                <w:rFonts w:ascii="仿宋_GB2312" w:hAnsi="仿宋_GB2312" w:cs="仿宋_GB2312" w:eastAsia="仿宋_GB2312"/>
                <w:sz w:val="21"/>
              </w:rPr>
              <w:t>2021-2025</w:t>
            </w:r>
            <w:r>
              <w:rPr>
                <w:rFonts w:ascii="仿宋_GB2312" w:hAnsi="仿宋_GB2312" w:cs="仿宋_GB2312" w:eastAsia="仿宋_GB2312"/>
                <w:sz w:val="21"/>
              </w:rPr>
              <w:t>年）》，西安市自然资源和规划局长安分局，西安市长安区发展和改革委员会，</w:t>
            </w:r>
            <w:r>
              <w:rPr>
                <w:rFonts w:ascii="仿宋_GB2312" w:hAnsi="仿宋_GB2312" w:cs="仿宋_GB2312" w:eastAsia="仿宋_GB2312"/>
                <w:sz w:val="21"/>
              </w:rPr>
              <w:t>2022</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（二）规范规程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）《地质灾害危险性评估规范》（</w:t>
            </w:r>
            <w:r>
              <w:rPr>
                <w:rFonts w:ascii="仿宋_GB2312" w:hAnsi="仿宋_GB2312" w:cs="仿宋_GB2312" w:eastAsia="仿宋_GB2312"/>
                <w:sz w:val="21"/>
              </w:rPr>
              <w:t>GB/T 40112-2021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）《场地地质灾害危险性评估技术要求（试行）》（</w:t>
            </w:r>
            <w:r>
              <w:rPr>
                <w:rFonts w:ascii="仿宋_GB2312" w:hAnsi="仿宋_GB2312" w:cs="仿宋_GB2312" w:eastAsia="仿宋_GB2312"/>
                <w:sz w:val="21"/>
              </w:rPr>
              <w:t>T/CAGHP 025-2018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）《岩土工程勘察规范》（</w:t>
            </w:r>
            <w:r>
              <w:rPr>
                <w:rFonts w:ascii="仿宋_GB2312" w:hAnsi="仿宋_GB2312" w:cs="仿宋_GB2312" w:eastAsia="仿宋_GB2312"/>
                <w:sz w:val="21"/>
              </w:rPr>
              <w:t>GB 50021-2001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）《地质灾害排查规范》（</w:t>
            </w:r>
            <w:r>
              <w:rPr>
                <w:rFonts w:ascii="仿宋_GB2312" w:hAnsi="仿宋_GB2312" w:cs="仿宋_GB2312" w:eastAsia="仿宋_GB2312"/>
                <w:sz w:val="21"/>
              </w:rPr>
              <w:t>DZT 0284-2015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）《地质灾害灾情调查评估指南》（</w:t>
            </w:r>
            <w:r>
              <w:rPr>
                <w:rFonts w:ascii="仿宋_GB2312" w:hAnsi="仿宋_GB2312" w:cs="仿宋_GB2312" w:eastAsia="仿宋_GB2312"/>
                <w:sz w:val="21"/>
              </w:rPr>
              <w:t>T/CAGHP 024-2018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）《滑坡崩塌泥石流灾害调查规范（</w:t>
            </w:r>
            <w:r>
              <w:rPr>
                <w:rFonts w:ascii="仿宋_GB2312" w:hAnsi="仿宋_GB2312" w:cs="仿宋_GB2312" w:eastAsia="仿宋_GB2312"/>
                <w:sz w:val="21"/>
              </w:rPr>
              <w:t>1:50000</w:t>
            </w:r>
            <w:r>
              <w:rPr>
                <w:rFonts w:ascii="仿宋_GB2312" w:hAnsi="仿宋_GB2312" w:cs="仿宋_GB2312" w:eastAsia="仿宋_GB2312"/>
                <w:sz w:val="21"/>
              </w:rPr>
              <w:t>）》（</w:t>
            </w:r>
            <w:r>
              <w:rPr>
                <w:rFonts w:ascii="仿宋_GB2312" w:hAnsi="仿宋_GB2312" w:cs="仿宋_GB2312" w:eastAsia="仿宋_GB2312"/>
                <w:sz w:val="21"/>
              </w:rPr>
              <w:t>DZ/T 0261-2014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）《崩塌防治工程勘查规范（试行）》（</w:t>
            </w:r>
            <w:r>
              <w:rPr>
                <w:rFonts w:ascii="仿宋_GB2312" w:hAnsi="仿宋_GB2312" w:cs="仿宋_GB2312" w:eastAsia="仿宋_GB2312"/>
                <w:sz w:val="21"/>
              </w:rPr>
              <w:t>T/CAGHP 011-2018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）《崩塌防治工程设计规范（试行）》（</w:t>
            </w:r>
            <w:r>
              <w:rPr>
                <w:rFonts w:ascii="仿宋_GB2312" w:hAnsi="仿宋_GB2312" w:cs="仿宋_GB2312" w:eastAsia="仿宋_GB2312"/>
                <w:sz w:val="21"/>
              </w:rPr>
              <w:t>T/CAGHP 032-2018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）《滑坡防治工程勘查规范》（</w:t>
            </w:r>
            <w:r>
              <w:rPr>
                <w:rFonts w:ascii="仿宋_GB2312" w:hAnsi="仿宋_GB2312" w:cs="仿宋_GB2312" w:eastAsia="仿宋_GB2312"/>
                <w:sz w:val="21"/>
              </w:rPr>
              <w:t>GB/T 32864-2016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）《滑坡防治设计规范》（</w:t>
            </w:r>
            <w:r>
              <w:rPr>
                <w:rFonts w:ascii="仿宋_GB2312" w:hAnsi="仿宋_GB2312" w:cs="仿宋_GB2312" w:eastAsia="仿宋_GB2312"/>
                <w:sz w:val="21"/>
              </w:rPr>
              <w:t>GB/T38509-2020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）《泥石流灾害防治工程勘查规范（试行）》（</w:t>
            </w:r>
            <w:r>
              <w:rPr>
                <w:rFonts w:ascii="仿宋_GB2312" w:hAnsi="仿宋_GB2312" w:cs="仿宋_GB2312" w:eastAsia="仿宋_GB2312"/>
                <w:sz w:val="21"/>
              </w:rPr>
              <w:t>T/CAGHP 006-2018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）《泥石流防治工程设计规范（试行）》（</w:t>
            </w:r>
            <w:r>
              <w:rPr>
                <w:rFonts w:ascii="仿宋_GB2312" w:hAnsi="仿宋_GB2312" w:cs="仿宋_GB2312" w:eastAsia="仿宋_GB2312"/>
                <w:sz w:val="21"/>
              </w:rPr>
              <w:t>T/CAGHP 021-2018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）《中国地震动动参数区划图》（</w:t>
            </w:r>
            <w:r>
              <w:rPr>
                <w:rFonts w:ascii="仿宋_GB2312" w:hAnsi="仿宋_GB2312" w:cs="仿宋_GB2312" w:eastAsia="仿宋_GB2312"/>
                <w:sz w:val="21"/>
              </w:rPr>
              <w:t>GB 18306-2015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）《工程地质手册》（第五版）。</w:t>
            </w:r>
          </w:p>
          <w:p>
            <w:pPr>
              <w:pStyle w:val="null3"/>
              <w:jc w:val="both"/>
            </w:pPr>
            <w:r>
              <w:rPr>
                <w:rFonts w:ascii="仿宋_GB2312" w:hAnsi="仿宋_GB2312" w:cs="仿宋_GB2312" w:eastAsia="仿宋_GB2312"/>
                <w:sz w:val="21"/>
              </w:rPr>
              <w:t>四、提交成果内容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2024</w:t>
            </w:r>
            <w:r>
              <w:rPr>
                <w:rFonts w:ascii="仿宋_GB2312" w:hAnsi="仿宋_GB2312" w:cs="仿宋_GB2312" w:eastAsia="仿宋_GB2312"/>
                <w:sz w:val="21"/>
              </w:rPr>
              <w:t>年度土地卫片执法新增宅基地违法图斑地质灾害危险性评估</w:t>
            </w:r>
            <w:r>
              <w:rPr>
                <w:rFonts w:ascii="仿宋_GB2312" w:hAnsi="仿宋_GB2312" w:cs="仿宋_GB2312" w:eastAsia="仿宋_GB2312"/>
                <w:sz w:val="21"/>
              </w:rPr>
              <w:t>报告》及专家评审意见的纸质版、电子版。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自签订合同之日起1个月内完成。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自签订合同之日起1个月内完成。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成交供应商在领取中标通知书时提供2套纸质响应文件（1正1副），纸质版响应文件应与线上电子响应文件保持一致并加盖公章。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供应商资格证明文件合同包1.docx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供应商资格证明文件合同包1.docx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供应商资格证明文件合同包2.docx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供应商资格证明文件合同包2.docx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供应商须具备测绘主管部门颁发乙级以上（含乙级）测绘资质(专业类别须涵盖本次招标内容)。</w:t>
            </w:r>
          </w:p>
        </w:tc>
        <w:tc>
          <w:tcPr>
            <w:tcW w:type="dxa" w:w="1661"/>
          </w:tcPr>
          <w:p>
            <w:pPr>
              <w:pStyle w:val="null3"/>
            </w:pPr>
            <w:r>
              <w:rPr>
                <w:rFonts w:ascii="仿宋_GB2312" w:hAnsi="仿宋_GB2312" w:cs="仿宋_GB2312" w:eastAsia="仿宋_GB2312"/>
              </w:rPr>
              <w:t>供应商资格证明文件合同包1.docx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供应商须具有地质灾害评估和治理工程勘查设计甲级资质。</w:t>
            </w:r>
          </w:p>
        </w:tc>
        <w:tc>
          <w:tcPr>
            <w:tcW w:type="dxa" w:w="1661"/>
          </w:tcPr>
          <w:p>
            <w:pPr>
              <w:pStyle w:val="null3"/>
            </w:pPr>
            <w:r>
              <w:rPr>
                <w:rFonts w:ascii="仿宋_GB2312" w:hAnsi="仿宋_GB2312" w:cs="仿宋_GB2312" w:eastAsia="仿宋_GB2312"/>
              </w:rPr>
              <w:t>供应商资格证明文件合同包2.docx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供应商参加政府采购活动承诺书.docx 响应文件封面 供应商拒绝政府采购领域商业贿赂承诺书.docx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供应商参加政府采购活动承诺书.docx 响应文件封面 标的清单 供应商拒绝政府采购领域商业贿赂承诺书.docx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针对本项目的服务需求、服务要点、服务内容及标准、人员的各岗位工作职能及应对客户特殊性质需要的针对性方案等要求有深刻的理解和分析。 1.理解深入，分析合理，针对性强、得8分； 2.基本理解，分析较合理，有一定的针对性得6分； 3.理解有所偏差，分析较合理，但针对性较差得4分； 4.理解有所偏差，分析不够合理，且未表述出针对性得2分； 5.不了解或未提供得0分。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整体工作方案</w:t>
            </w:r>
          </w:p>
        </w:tc>
        <w:tc>
          <w:tcPr>
            <w:tcW w:type="dxa" w:w="2492"/>
          </w:tcPr>
          <w:p>
            <w:pPr>
              <w:pStyle w:val="null3"/>
            </w:pPr>
            <w:r>
              <w:rPr>
                <w:rFonts w:ascii="仿宋_GB2312" w:hAnsi="仿宋_GB2312" w:cs="仿宋_GB2312" w:eastAsia="仿宋_GB2312"/>
              </w:rPr>
              <w:t>根据供应商对制定的总体工作方案进行评分： 1.全部响应采购要求与技术要求，方案详细、科学合理得10分； 2.响应采购要求与技术要求，方案较为详细、科学合理得8分， 3.响应采购要求与技术要求，比较齐全、合理可行得6分； 4.基本响应采购要求与技术要求得4分； 5.合理性一般，可行性一般的得2分； 未提供或方案偏差过大得0分。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根据供应商对本项目的关键性技术、重点难点的解决方案进行评分： 1.针对本项目关键技术、重点、难点的解决方案科学合理、完善、全面、具体、有亮点、可行性强，得7分； 2.针对本项目关键技术、重点、难点的解决方案科学合理、完善、全面、具体，得5分； 3.针对本项目关键技术、重点、难点的解决方案全面但不具体、可行性一般，得3分； 4.针对本项目关键技术、重点、难点的解决方案不够完善、无亮点、可行性较差，得1分。 5.未提供或方案偏差过大得0分。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进度计划及保障方案</w:t>
            </w:r>
          </w:p>
        </w:tc>
        <w:tc>
          <w:tcPr>
            <w:tcW w:type="dxa" w:w="2492"/>
          </w:tcPr>
          <w:p>
            <w:pPr>
              <w:pStyle w:val="null3"/>
            </w:pPr>
            <w:r>
              <w:rPr>
                <w:rFonts w:ascii="仿宋_GB2312" w:hAnsi="仿宋_GB2312" w:cs="仿宋_GB2312" w:eastAsia="仿宋_GB2312"/>
              </w:rPr>
              <w:t>根据各供应商提供的进度计划及进度保障措施进行评分： 1.进度计划及进度保障措施全面、详细、明确、可操作性强，得6分； 2.进度计划及进度保障措施较全面，但不够详细、明确、可操作性较强的，得4分； 3.进度计划及进度保障措施不全面，不够详细、明确、可操作性不强的，得2分； 4.无相关内容不得分。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根据各供应商提供的质量保障措施、承诺进行评分： 1.质量保障措施、服务承诺全面、详细、明确、可操作性强，得7分； 2.质量保障措施、承诺较全面，不够详细、明确、可操作性较强的，得5分； 3.质量保障措施、承诺基本全面，不够详细、明确、基本可操作，得3分； 4.质量保障措施、承诺不够全面，不够详细、明确、可操作性不强的，得1分； 5.无相关内容不得分。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信息保密方案及措施</w:t>
            </w:r>
          </w:p>
        </w:tc>
        <w:tc>
          <w:tcPr>
            <w:tcW w:type="dxa" w:w="2492"/>
          </w:tcPr>
          <w:p>
            <w:pPr>
              <w:pStyle w:val="null3"/>
            </w:pPr>
            <w:r>
              <w:rPr>
                <w:rFonts w:ascii="仿宋_GB2312" w:hAnsi="仿宋_GB2312" w:cs="仿宋_GB2312" w:eastAsia="仿宋_GB2312"/>
              </w:rPr>
              <w:t>针对本项目数据及成果的信息保密出具整体方案及对应措施。 1.方案考虑全面，措施合理有效，执行性强得6分； 2.方案考虑基本完善，措施有效，执行性强得4分； 3.方案较为简略，但措施有效，可执行得2分； 4.未提供或执行性弱得0分。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根据供应商提供的对成果文件的准确性、服务时限内团队稳定性、人员到位情况、服务质量等相关内容做出的承诺进行赋分。 1.承诺全面、详实，服务质量配合承诺清晰明确，得6分； 2.承诺较为详实全面，服务质量配合承诺基本完善，得4分； 3.承诺不全面，服务质量配合承诺较为简略，得2分； 4.无相关的承诺得0分。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服务团队岗位设置</w:t>
            </w:r>
          </w:p>
        </w:tc>
        <w:tc>
          <w:tcPr>
            <w:tcW w:type="dxa" w:w="2492"/>
          </w:tcPr>
          <w:p>
            <w:pPr>
              <w:pStyle w:val="null3"/>
            </w:pPr>
            <w:r>
              <w:rPr>
                <w:rFonts w:ascii="仿宋_GB2312" w:hAnsi="仿宋_GB2312" w:cs="仿宋_GB2312" w:eastAsia="仿宋_GB2312"/>
              </w:rPr>
              <w:t>1.组织结构健全，有完善的岗位制度和岗位职责，人员安排合理、分工明确，可操作性强，得6分； 2.供应商组织结构较为健全，有较为完善的岗位制度和岗位职责，人员安排及分工较为合理，具有一定的操作性，得4分； 3.供应商组织结构不够健全，岗位制度和岗位职责不够完善，得2分； 4.未提供或方案偏差过大得0分。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根据拟派服务团队的人员数量、专业技术能力、从业经历等赋分。 1.人员经验丰富、配备合理充足，证明材料齐全得6分； 2.人员有一定经验、人员配备无严重缺漏，但有证明材料得4分； 3.人员缺乏经验、配备情况无法充分完成服务工作，且证明材料不足得2分； 4.未提供或人员配备完全无法胜任本项目工作的得0分。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应急方案编制合理、清晰、明确、有效。 1.应急方案详尽、全面、有效、合理，措施可实施性强，得6分； 2.应急方案有效、合理，措施具有一定实施性，得4分； 3.应急方案具有实施性，得2分。 4.应急措施不合理或未提供，得0分。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特色服务</w:t>
            </w:r>
          </w:p>
        </w:tc>
        <w:tc>
          <w:tcPr>
            <w:tcW w:type="dxa" w:w="2492"/>
          </w:tcPr>
          <w:p>
            <w:pPr>
              <w:pStyle w:val="null3"/>
            </w:pPr>
            <w:r>
              <w:rPr>
                <w:rFonts w:ascii="仿宋_GB2312" w:hAnsi="仿宋_GB2312" w:cs="仿宋_GB2312" w:eastAsia="仿宋_GB2312"/>
              </w:rPr>
              <w:t>供应商提供实质性的特色服务方案。 1.特色服务内容合理、能够根据采购人特质具备针对性的得6分； 2.供应商提供特色服务方案内容较基本完善可行，但针对性不足的得4分； 3.供应商提供特色服务方案内容较少，但基本可行得2分； 4.供应商未提供得0分。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供应商可根据自身情况及项目特征，做出本项目的合理化建议。 1.合理化建议详尽、全面、有效、合理，可实施性强，得6分； 2.合理化建议有效、合理、可实施，得4分； 3.合理化建议基本有效，但可实施性有所欠缺，得2分； 4.不合理或未提供得0分。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2022年1月1日至今同类项目的业绩，提供扫描件并加盖公章，每提供1份有效业绩得2分，共10分，未提供的不得分。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1.满足磋商文件实质性要求且最后报价最低的供应商磋商报价为评审基准价，其价格分为满分10分。 2.报价得分=（评审基准价/磋商报价）×10。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整体工作方案1</w:t>
            </w:r>
          </w:p>
        </w:tc>
        <w:tc>
          <w:tcPr>
            <w:tcW w:type="dxa" w:w="2492"/>
          </w:tcPr>
          <w:p>
            <w:pPr>
              <w:pStyle w:val="null3"/>
            </w:pPr>
            <w:r>
              <w:rPr>
                <w:rFonts w:ascii="仿宋_GB2312" w:hAnsi="仿宋_GB2312" w:cs="仿宋_GB2312" w:eastAsia="仿宋_GB2312"/>
              </w:rPr>
              <w:t>整体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整体工作方案2</w:t>
            </w:r>
          </w:p>
        </w:tc>
        <w:tc>
          <w:tcPr>
            <w:tcW w:type="dxa" w:w="2492"/>
          </w:tcPr>
          <w:p>
            <w:pPr>
              <w:pStyle w:val="null3"/>
            </w:pPr>
            <w:r>
              <w:rPr>
                <w:rFonts w:ascii="仿宋_GB2312" w:hAnsi="仿宋_GB2312" w:cs="仿宋_GB2312" w:eastAsia="仿宋_GB2312"/>
              </w:rPr>
              <w:t>整体工作方案表述清楚，应用性强，重点突出。满分5分；每有一项内容缺陷按缺陷程度扣0.5-1分，直至本项分扣完为止。内容缺陷是指：表述不够清楚、重点不够突出、应用性不强、不符合项目实际情况等。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现状解析</w:t>
            </w:r>
          </w:p>
        </w:tc>
        <w:tc>
          <w:tcPr>
            <w:tcW w:type="dxa" w:w="2492"/>
          </w:tcPr>
          <w:p>
            <w:pPr>
              <w:pStyle w:val="null3"/>
            </w:pPr>
            <w:r>
              <w:rPr>
                <w:rFonts w:ascii="仿宋_GB2312" w:hAnsi="仿宋_GB2312" w:cs="仿宋_GB2312" w:eastAsia="仿宋_GB2312"/>
              </w:rPr>
              <w:t>针对主要内容与任务中现状问题识别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任务目标分解</w:t>
            </w:r>
          </w:p>
        </w:tc>
        <w:tc>
          <w:tcPr>
            <w:tcW w:type="dxa" w:w="2492"/>
          </w:tcPr>
          <w:p>
            <w:pPr>
              <w:pStyle w:val="null3"/>
            </w:pPr>
            <w:r>
              <w:rPr>
                <w:rFonts w:ascii="仿宋_GB2312" w:hAnsi="仿宋_GB2312" w:cs="仿宋_GB2312" w:eastAsia="仿宋_GB2312"/>
              </w:rPr>
              <w:t>针对主要内容与任务中目标分解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提升策略</w:t>
            </w:r>
          </w:p>
        </w:tc>
        <w:tc>
          <w:tcPr>
            <w:tcW w:type="dxa" w:w="2492"/>
          </w:tcPr>
          <w:p>
            <w:pPr>
              <w:pStyle w:val="null3"/>
            </w:pPr>
            <w:r>
              <w:rPr>
                <w:rFonts w:ascii="仿宋_GB2312" w:hAnsi="仿宋_GB2312" w:cs="仿宋_GB2312" w:eastAsia="仿宋_GB2312"/>
              </w:rPr>
              <w:t>针对主要内容与任务中提升策略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实施管控</w:t>
            </w:r>
          </w:p>
        </w:tc>
        <w:tc>
          <w:tcPr>
            <w:tcW w:type="dxa" w:w="2492"/>
          </w:tcPr>
          <w:p>
            <w:pPr>
              <w:pStyle w:val="null3"/>
            </w:pPr>
            <w:r>
              <w:rPr>
                <w:rFonts w:ascii="仿宋_GB2312" w:hAnsi="仿宋_GB2312" w:cs="仿宋_GB2312" w:eastAsia="仿宋_GB2312"/>
              </w:rPr>
              <w:t>针对主要内容与任务中实施管控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合理化建议行之有效、分析透彻，满分5分；每有一项内容缺陷按缺陷程度扣0.5-1分，直至本项分扣完为止。内容缺陷是指：内容不够详实合理、理解不够深刻、现状不够熟悉、建议不够合理、全面、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项目出现突发状况或问题后的补救措施等方面，有明确、切实可行、内容详尽的应急补救措施，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项目实施过程中的重点、难点分析及解决方案，供应商根据本项目的实际情况，提出有针对性的关键点分析及解决方案，且关键点分析准确，解决方案得当，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进度安排及成果交付计划</w:t>
            </w:r>
          </w:p>
        </w:tc>
        <w:tc>
          <w:tcPr>
            <w:tcW w:type="dxa" w:w="2492"/>
          </w:tcPr>
          <w:p>
            <w:pPr>
              <w:pStyle w:val="null3"/>
            </w:pPr>
            <w:r>
              <w:rPr>
                <w:rFonts w:ascii="仿宋_GB2312" w:hAnsi="仿宋_GB2312" w:cs="仿宋_GB2312" w:eastAsia="仿宋_GB2312"/>
              </w:rPr>
              <w:t>供应商针对本项目招标内容有明确的进度安排，合理的成果交付时限且进度安排科学合理，完全满足需求，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项目负责人具备地质工程，水文地质，岩土工程等相关专业本科及以上学历及专业高级工程师的得5分，缺项或专业不符不得分。 （提供人员有效证书复印件及开标时间前6个月内任意一个月的社保证明，加盖公章）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专业人员配备合理、全面、满足项目需求，人员分工、岗位职责明确等。 1、根据人员架构的设置情况是否充分，是否具备与本项目相关的专业技术能力，根据人员配备情况进行赋分，满分4分； 2、根据拟派团队人员的专业技术能力进行赋分，满分3分； 3、根据供应商提供的针对本项目团队人员岗位划分是否清晰，职责是否明确进行赋分，满分3分。 以上各项内容每有一项内容缺陷的扣0.5- 1分，直至本项分扣完为止。内容缺陷是指：存在不适用项目实际情况的情形、人员安排不当、配合服务计划不合理、人员经验不足等。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编制进度承诺</w:t>
            </w:r>
          </w:p>
        </w:tc>
        <w:tc>
          <w:tcPr>
            <w:tcW w:type="dxa" w:w="2492"/>
          </w:tcPr>
          <w:p>
            <w:pPr>
              <w:pStyle w:val="null3"/>
            </w:pPr>
            <w:r>
              <w:rPr>
                <w:rFonts w:ascii="仿宋_GB2312" w:hAnsi="仿宋_GB2312" w:cs="仿宋_GB2312" w:eastAsia="仿宋_GB2312"/>
              </w:rPr>
              <w:t>对采购内容的相关进度要求、时限要求、报告编制成果要求等做出承诺，承诺全面，满足要求，保障有力，满分5分；每有一项内容缺陷按缺陷程度扣0.5-1分，直至本项分扣完为止。内容缺陷是指：承诺不够全面、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质量保证体系</w:t>
            </w:r>
          </w:p>
        </w:tc>
        <w:tc>
          <w:tcPr>
            <w:tcW w:type="dxa" w:w="2492"/>
          </w:tcPr>
          <w:p>
            <w:pPr>
              <w:pStyle w:val="null3"/>
            </w:pPr>
            <w:r>
              <w:rPr>
                <w:rFonts w:ascii="仿宋_GB2312" w:hAnsi="仿宋_GB2312" w:cs="仿宋_GB2312" w:eastAsia="仿宋_GB2312"/>
              </w:rPr>
              <w:t>供应商质量保证体系合理完善，质量控制程序科学合理，具有针对性和可行性，能有效保障报告编制质量。满分5分。每有一项内容缺陷的扣0.5-1分，直至本项分扣完为止。内容缺陷是指：保证体系不够完善、控制程序不够科学、针对性和可行性不够、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对报告编制后期服务相关内容做出承诺，后续服务安排及保障全面可行，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根据各供应商提供的2022年1月1日至今同类项目业绩合同，时间以合同签订的日期为准，每一个有效业绩得2分。满分10分。（合同扫描件加盖公章附在磋商文件中，否则不做为评审依据）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1.满足磋商文件实质性要求且最后报价最低的供应商磋商报价为评审基准价，其价格分为满分10分。 2.报价得分=（评审基准价/磋商报价）×10。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详见附件：供应商资格证明文件合同包1.docx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详见附件：供应商资格证明文件合同包2.docx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详见附件：合同模板1包2包.docx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