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版本号：ZKZC-251900120250508001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西康高铁引镇街道河滩村、赵家坡常村、枣姚村安置项目建设工程设计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ZKZC-2519001</w:t>
      </w:r>
      <w:r>
        <w:br/>
      </w:r>
      <w:r>
        <w:br/>
      </w:r>
      <w:r>
        <w:br/>
      </w:r>
    </w:p>
    <w:p>
      <w:pPr>
        <w:pStyle w:val="null3"/>
        <w:jc w:val="center"/>
        <w:outlineLvl w:val="2"/>
      </w:pPr>
      <w:r>
        <w:rPr>
          <w:rFonts w:ascii="仿宋_GB2312" w:hAnsi="仿宋_GB2312" w:cs="仿宋_GB2312" w:eastAsia="仿宋_GB2312"/>
          <w:sz w:val="28"/>
          <w:b/>
        </w:rPr>
        <w:t>西安市长安区引镇街道办事处</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西安市长安区引镇街道办事处</w:t>
      </w:r>
      <w:r>
        <w:rPr>
          <w:rFonts w:ascii="仿宋_GB2312" w:hAnsi="仿宋_GB2312" w:cs="仿宋_GB2312" w:eastAsia="仿宋_GB2312"/>
        </w:rPr>
        <w:t>委托，拟对</w:t>
      </w:r>
      <w:r>
        <w:rPr>
          <w:rFonts w:ascii="仿宋_GB2312" w:hAnsi="仿宋_GB2312" w:cs="仿宋_GB2312" w:eastAsia="仿宋_GB2312"/>
        </w:rPr>
        <w:t>西康高铁引镇街道河滩村、赵家坡常村、枣姚村安置项目建设工程设计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ZKZC-2519001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西康高铁引镇街道河滩村、赵家坡常村、枣姚村安置项目建设工程设计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引镇街道河滩村、赵家坡常村、枣姚村，总安置户数为104户，以村庄为单位进行分区域安置。其中河滩村34户，拟选用分为三个地块，总用地面积11300.06㎡，建筑面积约5100㎡；赵家坡常村15户，拟选用一个地块，用地面积4999.61㎡，建筑面积约2250㎡；枣姚村55户，拟选用两个地块，总用地面积18316.58㎡，建筑面积约8250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采购包1（西康高铁引镇街道河滩村、赵家坡常村、枣姚村安置项目建设工程设计）：属于专门面向中小企业采购。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2022或2023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p>
      <w:pPr>
        <w:pStyle w:val="null3"/>
      </w:pPr>
      <w:r>
        <w:rPr>
          <w:rFonts w:ascii="仿宋_GB2312" w:hAnsi="仿宋_GB2312" w:cs="仿宋_GB2312" w:eastAsia="仿宋_GB2312"/>
        </w:rPr>
        <w:t>3、税收缴纳证明：提供开标截止时间前6个月内任意一个月的纳税证明或完税证明，纳税证明或完税证明上应有代收机构或税务机关的公章。依法免税的供应商应提供相关文件证明。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5、法定代表人身份证明/法定代表人授权委托书：供应商应授权合法的人员参加投标：法定代表人直接参加投标，须出具法定代表人身份证明；法定代表人授权代表参加投标，须出具法定代表人授权书。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6、履约承诺：供应商须提供具有履行合同所必需的设备和专业技术能力的承诺。</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8、供应商及项目负责人：供应商须具备工程设计综合资质甲级或建筑行业工程设计乙级及以上或建筑行业（建筑工程）专业乙级及以上资质；拟派项目负责人须具备二级及以上注册建筑师执业资格且在本单位注册。</w:t>
      </w:r>
    </w:p>
    <w:p>
      <w:pPr>
        <w:pStyle w:val="null3"/>
      </w:pPr>
      <w:r>
        <w:rPr>
          <w:rFonts w:ascii="仿宋_GB2312" w:hAnsi="仿宋_GB2312" w:cs="仿宋_GB2312" w:eastAsia="仿宋_GB2312"/>
        </w:rPr>
        <w:t>9、信用记录：供应商不得被列入“信用中国”网站（www.creditchina.gov.cn）失信被执行人名单、重大税收违法失信主体、政府采购严重违法失信行为记录名单，不得被列入“中国政府采购网”（www.ccgp.gov.cn）政府采购严重违法失信行为记录名单。</w:t>
      </w:r>
    </w:p>
    <w:p>
      <w:pPr>
        <w:pStyle w:val="null3"/>
      </w:pPr>
      <w:r>
        <w:rPr>
          <w:rFonts w:ascii="仿宋_GB2312" w:hAnsi="仿宋_GB2312" w:cs="仿宋_GB2312" w:eastAsia="仿宋_GB2312"/>
        </w:rPr>
        <w:t>10、单位负责人为同一人或者存在直接控股、管理关系的不同供应商不得参加同一合同项下的政府采购活动； 为本项目提供整体设计、规范编制或者项目管理、监理、检测等服务的供应商，不得再参加该采购项目的其他采购活动。：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为本项目提供整体设计、规范编制或者项目管理、监理、检测等服务的供应商，不得再参加该采购项目的其他采购活动（提供书面声明）。</w:t>
      </w:r>
    </w:p>
    <w:p>
      <w:pPr>
        <w:pStyle w:val="null3"/>
      </w:pPr>
      <w:r>
        <w:rPr>
          <w:rFonts w:ascii="仿宋_GB2312" w:hAnsi="仿宋_GB2312" w:cs="仿宋_GB2312" w:eastAsia="仿宋_GB2312"/>
        </w:rPr>
        <w:t>11、本项目不接受联合体投标：本项目不接受联合体投标（提供书面声明）。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西安市长安区引镇街道办事处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西安市长安区引镇街道鸿翔东街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029-85886382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郭咪咪、宁莎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029-85261162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代理服务费收费标准：参照发改价格[2011]534号文件及《国家发展改革委关于进一步放开建设项目专业服务价格的通知》（发改价格〔2015〕299号）文的规定标准收取。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西安市长安区引镇街道办事处</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西安市长安区引镇街道办事处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西安市长安区引镇街道办事处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符合国家相关规范、行业标准及采购人要求。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联系人：郭咪咪 宁莎</w:t>
      </w:r>
    </w:p>
    <w:p>
      <w:pPr>
        <w:pStyle w:val="null3"/>
      </w:pPr>
      <w:r>
        <w:rPr>
          <w:rFonts w:ascii="仿宋_GB2312" w:hAnsi="仿宋_GB2312" w:cs="仿宋_GB2312" w:eastAsia="仿宋_GB2312"/>
        </w:rPr>
        <w:t>联系电话：029-85261162</w:t>
      </w:r>
    </w:p>
    <w:p>
      <w:pPr>
        <w:pStyle w:val="null3"/>
      </w:pPr>
      <w:r>
        <w:rPr>
          <w:rFonts w:ascii="仿宋_GB2312" w:hAnsi="仿宋_GB2312" w:cs="仿宋_GB2312" w:eastAsia="仿宋_GB2312"/>
        </w:rPr>
        <w:t>地址：西安市浐灞生态区欧亚一路世园大观3栋5层502室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位于引镇街道河滩村、赵家坡常村、枣姚村，总安置户数为104户，以村庄为单位进行分区域安置。其中河滩村34户，拟选用分为三个地块，总用地面积11300.06㎡，建筑面积约5100㎡；赵家坡常村15户，拟选用一个地块，用地面积4999.61㎡，建筑面积约2250㎡；枣姚村55户，拟选用两个地块，总用地面积18316.58㎡，建筑面积约8250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430,900.00</w:t>
      </w:r>
    </w:p>
    <w:p>
      <w:pPr>
        <w:pStyle w:val="null3"/>
      </w:pPr>
      <w:r>
        <w:rPr>
          <w:rFonts w:ascii="仿宋_GB2312" w:hAnsi="仿宋_GB2312" w:cs="仿宋_GB2312" w:eastAsia="仿宋_GB2312"/>
        </w:rPr>
        <w:t>采购包最高限价（元）: 430,900.00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西康高铁引镇街道河滩村、赵家坡常村、枣姚村安置项目建设工程设计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标的名称：西康高铁引镇街道河滩村、赵家坡常村、枣姚村安置项目建设工程设计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ind w:left="15"/>
              <w:jc w:val="both"/>
            </w:pPr>
            <w:r>
              <w:rPr>
                <w:rFonts w:ascii="仿宋_GB2312" w:hAnsi="仿宋_GB2312" w:cs="仿宋_GB2312" w:eastAsia="仿宋_GB2312"/>
                <w:sz w:val="20"/>
              </w:rPr>
              <w:t>一、项目名称：西康高铁引镇街道河滩村、赵家坡常村、枣姚村安置项目建设工程设计</w:t>
            </w:r>
          </w:p>
          <w:p>
            <w:pPr>
              <w:pStyle w:val="null3"/>
              <w:spacing w:before="180"/>
              <w:ind w:left="15"/>
              <w:jc w:val="both"/>
            </w:pPr>
            <w:r>
              <w:rPr>
                <w:rFonts w:ascii="仿宋_GB2312" w:hAnsi="仿宋_GB2312" w:cs="仿宋_GB2312" w:eastAsia="仿宋_GB2312"/>
                <w:sz w:val="20"/>
              </w:rPr>
              <w:t>二、项目基本情况：</w:t>
            </w:r>
          </w:p>
          <w:p>
            <w:pPr>
              <w:pStyle w:val="null3"/>
              <w:spacing w:before="180"/>
              <w:ind w:right="180" w:firstLine="488"/>
              <w:jc w:val="both"/>
            </w:pPr>
            <w:r>
              <w:rPr>
                <w:rFonts w:ascii="仿宋_GB2312" w:hAnsi="仿宋_GB2312" w:cs="仿宋_GB2312" w:eastAsia="仿宋_GB2312"/>
                <w:sz w:val="20"/>
              </w:rPr>
              <w:t>项目位于引镇街道河滩村、赵家坡常村、枣姚村，总安置户数为</w:t>
            </w:r>
            <w:r>
              <w:rPr>
                <w:rFonts w:ascii="仿宋_GB2312" w:hAnsi="仿宋_GB2312" w:cs="仿宋_GB2312" w:eastAsia="仿宋_GB2312"/>
                <w:sz w:val="20"/>
              </w:rPr>
              <w:t>104户，以村庄为单位进行分区域安置。其中河滩村34户，拟选用分为三个地块，总用地面积11300.06㎡，建筑面积约5100㎡；赵家坡常村15户，拟选用一个地块，用地面积4999.61㎡，建筑面积约2250㎡；枣姚村55户，拟选用两个地块，总用地面积18316.58㎡，建筑面积约8250㎡。每户宅基地面积不超过200㎡（三分地），层数控制在3层以下（含3层），屋顶檐口至地面高度控制在10米以内，坡屋顶的应从檐口起坡，坡顶不超过2.5米。</w:t>
            </w:r>
          </w:p>
          <w:p>
            <w:pPr>
              <w:pStyle w:val="null3"/>
              <w:spacing w:before="45"/>
              <w:ind w:left="15"/>
              <w:jc w:val="both"/>
            </w:pPr>
            <w:r>
              <w:rPr>
                <w:rFonts w:ascii="仿宋_GB2312" w:hAnsi="仿宋_GB2312" w:cs="仿宋_GB2312" w:eastAsia="仿宋_GB2312"/>
                <w:sz w:val="20"/>
              </w:rPr>
              <w:t>三、技术、服务要求：</w:t>
            </w:r>
          </w:p>
          <w:p>
            <w:pPr>
              <w:pStyle w:val="null3"/>
              <w:spacing w:before="180"/>
              <w:ind w:left="15"/>
              <w:jc w:val="both"/>
            </w:pPr>
            <w:r>
              <w:rPr>
                <w:rFonts w:ascii="仿宋_GB2312" w:hAnsi="仿宋_GB2312" w:cs="仿宋_GB2312" w:eastAsia="仿宋_GB2312"/>
                <w:sz w:val="20"/>
              </w:rPr>
              <w:t>1、服务内容：</w:t>
            </w:r>
          </w:p>
          <w:p>
            <w:pPr>
              <w:pStyle w:val="null3"/>
              <w:spacing w:before="180"/>
              <w:ind w:right="180" w:firstLine="488"/>
              <w:jc w:val="both"/>
            </w:pPr>
            <w:r>
              <w:rPr>
                <w:rFonts w:ascii="仿宋_GB2312" w:hAnsi="仿宋_GB2312" w:cs="仿宋_GB2312" w:eastAsia="仿宋_GB2312"/>
                <w:sz w:val="20"/>
              </w:rPr>
              <w:t>本次服务主要内容包括：建筑单体和室外工程两部分内容（室外工程含道路、绿化、室外照明、停车、地下线管及化粪池等内容），具体设计包含前期方案设计、后期施工图设计及设计图纸交付后的后期服务</w:t>
            </w:r>
            <w:r>
              <w:rPr>
                <w:rFonts w:ascii="仿宋_GB2312" w:hAnsi="仿宋_GB2312" w:cs="仿宋_GB2312" w:eastAsia="仿宋_GB2312"/>
                <w:sz w:val="20"/>
              </w:rPr>
              <w:t>（施工阶段配合服务）等；所有成果文件必须符合国家相关规范、标准及采购人要求。</w:t>
            </w:r>
          </w:p>
          <w:p>
            <w:pPr>
              <w:pStyle w:val="null3"/>
              <w:spacing w:before="45"/>
              <w:jc w:val="both"/>
            </w:pPr>
            <w:r>
              <w:rPr>
                <w:rFonts w:ascii="仿宋_GB2312" w:hAnsi="仿宋_GB2312" w:cs="仿宋_GB2312" w:eastAsia="仿宋_GB2312"/>
                <w:sz w:val="20"/>
              </w:rPr>
              <w:t>2、设计要求：</w:t>
            </w:r>
          </w:p>
          <w:p>
            <w:pPr>
              <w:pStyle w:val="null3"/>
              <w:spacing w:before="180"/>
              <w:ind w:firstLine="476"/>
              <w:jc w:val="both"/>
            </w:pPr>
            <w:r>
              <w:rPr>
                <w:rFonts w:ascii="仿宋_GB2312" w:hAnsi="仿宋_GB2312" w:cs="仿宋_GB2312" w:eastAsia="仿宋_GB2312"/>
                <w:sz w:val="21"/>
              </w:rPr>
              <w:t>2.1 完成前期方案设计及施工图设计，按采购人的需求进行设计。</w:t>
            </w:r>
          </w:p>
          <w:p>
            <w:pPr>
              <w:pStyle w:val="null3"/>
              <w:spacing w:before="180"/>
              <w:ind w:firstLine="476"/>
              <w:jc w:val="both"/>
            </w:pPr>
            <w:r>
              <w:rPr>
                <w:rFonts w:ascii="仿宋_GB2312" w:hAnsi="仿宋_GB2312" w:cs="仿宋_GB2312" w:eastAsia="仿宋_GB2312"/>
                <w:sz w:val="20"/>
              </w:rPr>
              <w:t>2.2 对采购人的审核修改意见进行修改、完善，保证其设计意图的最终实现。</w:t>
            </w:r>
          </w:p>
          <w:p>
            <w:pPr>
              <w:pStyle w:val="null3"/>
              <w:spacing w:before="180"/>
              <w:ind w:right="180" w:firstLine="474"/>
              <w:jc w:val="both"/>
            </w:pPr>
            <w:r>
              <w:rPr>
                <w:rFonts w:ascii="仿宋_GB2312" w:hAnsi="仿宋_GB2312" w:cs="仿宋_GB2312" w:eastAsia="仿宋_GB2312"/>
                <w:sz w:val="20"/>
              </w:rPr>
              <w:t>2.3 根据项目建设进度要求及时提供各阶段报审图纸，协助采购人进行报审工作，根据审查结果进行修改调整，直至审查通过，并最终向采购人提交正式的施工图设计文件。</w:t>
            </w:r>
          </w:p>
          <w:p>
            <w:pPr>
              <w:pStyle w:val="null3"/>
              <w:spacing w:before="180"/>
              <w:ind w:right="180" w:firstLine="475"/>
              <w:jc w:val="both"/>
            </w:pPr>
            <w:r>
              <w:rPr>
                <w:rFonts w:ascii="仿宋_GB2312" w:hAnsi="仿宋_GB2312" w:cs="仿宋_GB2312" w:eastAsia="仿宋_GB2312"/>
                <w:sz w:val="20"/>
              </w:rPr>
              <w:t>2.4 负责工程设计交底，解答施工过程中有关施工图的问题，项目负责人及各专业设计负责人及时对施工中与设计有关的问题做出回应，保证设计满足施工要求。</w:t>
            </w:r>
          </w:p>
          <w:p>
            <w:pPr>
              <w:pStyle w:val="null3"/>
              <w:spacing w:before="180"/>
              <w:ind w:right="180" w:firstLine="475"/>
              <w:jc w:val="both"/>
            </w:pPr>
            <w:r>
              <w:rPr>
                <w:rFonts w:ascii="仿宋_GB2312" w:hAnsi="仿宋_GB2312" w:cs="仿宋_GB2312" w:eastAsia="仿宋_GB2312"/>
                <w:sz w:val="20"/>
              </w:rPr>
              <w:t>2.5 根据采购人要求，及时参加与设计有关的专题会，现场解决技术问题。</w:t>
            </w:r>
          </w:p>
          <w:p>
            <w:pPr>
              <w:pStyle w:val="null3"/>
              <w:spacing w:before="180"/>
              <w:ind w:firstLine="476"/>
              <w:jc w:val="both"/>
            </w:pPr>
            <w:r>
              <w:rPr>
                <w:rFonts w:ascii="仿宋_GB2312" w:hAnsi="仿宋_GB2312" w:cs="仿宋_GB2312" w:eastAsia="仿宋_GB2312"/>
                <w:sz w:val="20"/>
              </w:rPr>
              <w:t>2.6 参与与设计相关的必要的验收以及项目竣工验收工作，并及时办理相关手续。</w:t>
            </w:r>
          </w:p>
          <w:p>
            <w:pPr>
              <w:pStyle w:val="null3"/>
              <w:spacing w:before="180"/>
              <w:ind w:firstLine="476"/>
              <w:jc w:val="both"/>
            </w:pPr>
            <w:r>
              <w:rPr>
                <w:rFonts w:ascii="仿宋_GB2312" w:hAnsi="仿宋_GB2312" w:cs="仿宋_GB2312" w:eastAsia="仿宋_GB2312"/>
                <w:sz w:val="20"/>
              </w:rPr>
              <w:t>2.7 提交的设计文件应符合现行规程、规范等要求，并应通过相关部门的审查。</w:t>
            </w:r>
          </w:p>
          <w:p>
            <w:pPr>
              <w:pStyle w:val="null3"/>
              <w:spacing w:before="180"/>
              <w:ind w:firstLine="476"/>
              <w:jc w:val="both"/>
            </w:pPr>
            <w:r>
              <w:rPr>
                <w:rFonts w:ascii="仿宋_GB2312" w:hAnsi="仿宋_GB2312" w:cs="仿宋_GB2312" w:eastAsia="仿宋_GB2312"/>
                <w:sz w:val="20"/>
                <w:b/>
              </w:rPr>
              <w:t>2.8 提交磋商响应文件时需提供总平面布置图及户型平面图。</w:t>
            </w:r>
          </w:p>
          <w:p>
            <w:pPr>
              <w:pStyle w:val="null3"/>
              <w:spacing w:before="45"/>
              <w:jc w:val="both"/>
            </w:pPr>
            <w:r>
              <w:rPr>
                <w:rFonts w:ascii="仿宋_GB2312" w:hAnsi="仿宋_GB2312" w:cs="仿宋_GB2312" w:eastAsia="仿宋_GB2312"/>
                <w:sz w:val="20"/>
              </w:rPr>
              <w:t>3、技术标准和技术规范：</w:t>
            </w:r>
          </w:p>
          <w:p>
            <w:pPr>
              <w:pStyle w:val="null3"/>
              <w:ind w:firstLine="400"/>
              <w:jc w:val="both"/>
            </w:pPr>
            <w:r>
              <w:rPr>
                <w:rFonts w:ascii="仿宋_GB2312" w:hAnsi="仿宋_GB2312" w:cs="仿宋_GB2312" w:eastAsia="仿宋_GB2312"/>
                <w:sz w:val="20"/>
              </w:rPr>
              <w:t>3.1《中华人民共和国建筑法》（2017年）；</w:t>
            </w:r>
          </w:p>
          <w:p>
            <w:pPr>
              <w:pStyle w:val="null3"/>
              <w:ind w:firstLine="400"/>
              <w:jc w:val="both"/>
            </w:pPr>
            <w:r>
              <w:rPr>
                <w:rFonts w:ascii="仿宋_GB2312" w:hAnsi="仿宋_GB2312" w:cs="仿宋_GB2312" w:eastAsia="仿宋_GB2312"/>
                <w:sz w:val="20"/>
              </w:rPr>
              <w:t>3.2《建筑工程设计文件编制深度规定》2016年版；</w:t>
            </w:r>
          </w:p>
          <w:p>
            <w:pPr>
              <w:pStyle w:val="null3"/>
              <w:ind w:firstLine="400"/>
              <w:jc w:val="both"/>
            </w:pPr>
            <w:r>
              <w:rPr>
                <w:rFonts w:ascii="仿宋_GB2312" w:hAnsi="仿宋_GB2312" w:cs="仿宋_GB2312" w:eastAsia="仿宋_GB2312"/>
                <w:sz w:val="20"/>
              </w:rPr>
              <w:t>3.3《民用建筑通用规范》（GB55031-2022）；</w:t>
            </w:r>
          </w:p>
          <w:p>
            <w:pPr>
              <w:pStyle w:val="null3"/>
              <w:ind w:firstLine="400"/>
              <w:jc w:val="both"/>
            </w:pPr>
            <w:r>
              <w:rPr>
                <w:rFonts w:ascii="仿宋_GB2312" w:hAnsi="仿宋_GB2312" w:cs="仿宋_GB2312" w:eastAsia="仿宋_GB2312"/>
                <w:sz w:val="20"/>
              </w:rPr>
              <w:t>3.4《建筑防火通用规范》（GB55037-2022）</w:t>
            </w:r>
          </w:p>
          <w:p>
            <w:pPr>
              <w:pStyle w:val="null3"/>
              <w:ind w:firstLine="400"/>
              <w:jc w:val="both"/>
            </w:pPr>
            <w:r>
              <w:rPr>
                <w:rFonts w:ascii="仿宋_GB2312" w:hAnsi="仿宋_GB2312" w:cs="仿宋_GB2312" w:eastAsia="仿宋_GB2312"/>
                <w:sz w:val="20"/>
              </w:rPr>
              <w:t>3.5《住宅设计规范》（GB 50096-2011）</w:t>
            </w:r>
          </w:p>
          <w:p>
            <w:pPr>
              <w:pStyle w:val="null3"/>
              <w:ind w:firstLine="400"/>
              <w:jc w:val="both"/>
            </w:pPr>
            <w:r>
              <w:rPr>
                <w:rFonts w:ascii="仿宋_GB2312" w:hAnsi="仿宋_GB2312" w:cs="仿宋_GB2312" w:eastAsia="仿宋_GB2312"/>
                <w:sz w:val="20"/>
              </w:rPr>
              <w:t>3.6《住宅建筑规范》（GB 50368-2005）</w:t>
            </w:r>
          </w:p>
          <w:p>
            <w:pPr>
              <w:pStyle w:val="null3"/>
              <w:spacing w:before="45"/>
              <w:ind w:left="15" w:firstLine="476"/>
              <w:jc w:val="both"/>
            </w:pPr>
            <w:r>
              <w:rPr>
                <w:rFonts w:ascii="仿宋_GB2312" w:hAnsi="仿宋_GB2312" w:cs="仿宋_GB2312" w:eastAsia="仿宋_GB2312"/>
                <w:sz w:val="20"/>
              </w:rPr>
              <w:t>3.7 供应商在设计工作中使用或参考上述标准、规范以外的技术标准、规范时，应征得采购人或采购人的指定代表人的同意。</w:t>
            </w:r>
          </w:p>
          <w:p>
            <w:pPr>
              <w:pStyle w:val="null3"/>
              <w:spacing w:before="180"/>
              <w:ind w:left="15" w:firstLine="477"/>
              <w:jc w:val="both"/>
            </w:pPr>
            <w:r>
              <w:rPr>
                <w:rFonts w:ascii="仿宋_GB2312" w:hAnsi="仿宋_GB2312" w:cs="仿宋_GB2312" w:eastAsia="仿宋_GB2312"/>
                <w:sz w:val="20"/>
              </w:rPr>
              <w:t>3.8 在设计过程中，如果国家或有关部门颁布了新的技术标准或规范，则供应商应采用新的标准或规范进行设计。</w:t>
            </w:r>
          </w:p>
          <w:p>
            <w:pPr>
              <w:pStyle w:val="null3"/>
              <w:spacing w:before="180"/>
              <w:jc w:val="both"/>
            </w:pPr>
            <w:r>
              <w:rPr>
                <w:rFonts w:ascii="仿宋_GB2312" w:hAnsi="仿宋_GB2312" w:cs="仿宋_GB2312" w:eastAsia="仿宋_GB2312"/>
                <w:sz w:val="20"/>
              </w:rPr>
              <w:t>4、保密要求：</w:t>
            </w:r>
          </w:p>
          <w:p>
            <w:pPr>
              <w:pStyle w:val="null3"/>
              <w:spacing w:before="180"/>
              <w:ind w:left="15" w:firstLine="473"/>
              <w:jc w:val="both"/>
            </w:pPr>
            <w:r>
              <w:rPr>
                <w:rFonts w:ascii="仿宋_GB2312" w:hAnsi="仿宋_GB2312" w:cs="仿宋_GB2312" w:eastAsia="仿宋_GB2312"/>
                <w:sz w:val="20"/>
              </w:rPr>
              <w:t>采购人根据合同约定结清设计费用后，本项目的一切成果所有权归采购人所有，供应商应对成果进行保密不外泄。</w:t>
            </w:r>
          </w:p>
          <w:p>
            <w:pPr>
              <w:pStyle w:val="null3"/>
              <w:spacing w:before="45"/>
              <w:jc w:val="both"/>
            </w:pPr>
            <w:r>
              <w:rPr>
                <w:rFonts w:ascii="仿宋_GB2312" w:hAnsi="仿宋_GB2312" w:cs="仿宋_GB2312" w:eastAsia="仿宋_GB2312"/>
                <w:sz w:val="20"/>
              </w:rPr>
              <w:t>5、成果文件要求：</w:t>
            </w:r>
          </w:p>
          <w:p>
            <w:pPr>
              <w:pStyle w:val="null3"/>
              <w:spacing w:before="180"/>
              <w:ind w:left="15" w:firstLine="473"/>
              <w:jc w:val="both"/>
            </w:pPr>
            <w:r>
              <w:rPr>
                <w:rFonts w:ascii="仿宋_GB2312" w:hAnsi="仿宋_GB2312" w:cs="仿宋_GB2312" w:eastAsia="仿宋_GB2312"/>
                <w:sz w:val="21"/>
              </w:rPr>
              <w:t>5.1 提交正式方案及施工图成果捌份，叁份电子光盘。</w:t>
            </w:r>
          </w:p>
          <w:p>
            <w:pPr>
              <w:pStyle w:val="null3"/>
              <w:spacing w:before="180"/>
              <w:ind w:left="15" w:firstLine="473"/>
              <w:jc w:val="both"/>
            </w:pPr>
            <w:r>
              <w:rPr>
                <w:rFonts w:ascii="仿宋_GB2312" w:hAnsi="仿宋_GB2312" w:cs="仿宋_GB2312" w:eastAsia="仿宋_GB2312"/>
                <w:sz w:val="20"/>
              </w:rPr>
              <w:t>5.2 资料包括：各专业施工蓝图、电子文件。</w:t>
            </w:r>
          </w:p>
          <w:p>
            <w:pPr>
              <w:pStyle w:val="null3"/>
              <w:spacing w:before="45"/>
              <w:jc w:val="both"/>
            </w:pPr>
            <w:r>
              <w:rPr>
                <w:rFonts w:ascii="仿宋_GB2312" w:hAnsi="仿宋_GB2312" w:cs="仿宋_GB2312" w:eastAsia="仿宋_GB2312"/>
                <w:sz w:val="20"/>
              </w:rPr>
              <w:t>6、其他要求：</w:t>
            </w:r>
          </w:p>
          <w:p>
            <w:pPr>
              <w:pStyle w:val="null3"/>
              <w:spacing w:before="180"/>
              <w:ind w:left="15" w:firstLine="481"/>
              <w:jc w:val="both"/>
            </w:pPr>
            <w:r>
              <w:rPr>
                <w:rFonts w:ascii="仿宋_GB2312" w:hAnsi="仿宋_GB2312" w:cs="仿宋_GB2312" w:eastAsia="仿宋_GB2312"/>
                <w:sz w:val="20"/>
              </w:rPr>
              <w:t>本项目合同为固定总价合同，合同总价即成交价，不受市场价变化或实际工作量变化的影响。乙方需无条件配合甲方完成本项目后续评审或需调整设计等相关事宜，确保项目的完整性及有效性。</w:t>
            </w:r>
          </w:p>
          <w:p>
            <w:pPr>
              <w:pStyle w:val="null3"/>
              <w:spacing w:before="45"/>
              <w:ind w:left="30"/>
              <w:jc w:val="both"/>
            </w:pPr>
            <w:r>
              <w:rPr>
                <w:rFonts w:ascii="仿宋_GB2312" w:hAnsi="仿宋_GB2312" w:cs="仿宋_GB2312" w:eastAsia="仿宋_GB2312"/>
                <w:sz w:val="20"/>
              </w:rPr>
              <w:t>四、商务要求：</w:t>
            </w:r>
          </w:p>
          <w:p>
            <w:pPr>
              <w:pStyle w:val="null3"/>
              <w:spacing w:before="180"/>
              <w:ind w:left="15"/>
              <w:jc w:val="both"/>
            </w:pPr>
            <w:r>
              <w:rPr>
                <w:rFonts w:ascii="仿宋_GB2312" w:hAnsi="仿宋_GB2312" w:cs="仿宋_GB2312" w:eastAsia="仿宋_GB2312"/>
                <w:sz w:val="20"/>
              </w:rPr>
              <w:t>1、服务期及实施地点：</w:t>
            </w:r>
          </w:p>
          <w:p>
            <w:pPr>
              <w:pStyle w:val="null3"/>
              <w:spacing w:before="180"/>
              <w:ind w:left="495"/>
              <w:jc w:val="both"/>
            </w:pPr>
            <w:r>
              <w:rPr>
                <w:rFonts w:ascii="仿宋_GB2312" w:hAnsi="仿宋_GB2312" w:cs="仿宋_GB2312" w:eastAsia="仿宋_GB2312"/>
                <w:sz w:val="20"/>
              </w:rPr>
              <w:t>1.1 服务期：自合同签订之日起30日历天内。</w:t>
            </w:r>
          </w:p>
          <w:p>
            <w:pPr>
              <w:pStyle w:val="null3"/>
              <w:spacing w:before="180"/>
              <w:ind w:left="495"/>
              <w:jc w:val="both"/>
            </w:pPr>
            <w:r>
              <w:rPr>
                <w:rFonts w:ascii="仿宋_GB2312" w:hAnsi="仿宋_GB2312" w:cs="仿宋_GB2312" w:eastAsia="仿宋_GB2312"/>
                <w:sz w:val="20"/>
              </w:rPr>
              <w:t>1.2 地点：采购人指定地点。</w:t>
            </w:r>
          </w:p>
          <w:p>
            <w:pPr>
              <w:pStyle w:val="null3"/>
              <w:spacing w:before="180"/>
              <w:jc w:val="both"/>
            </w:pPr>
            <w:r>
              <w:rPr>
                <w:rFonts w:ascii="仿宋_GB2312" w:hAnsi="仿宋_GB2312" w:cs="仿宋_GB2312" w:eastAsia="仿宋_GB2312"/>
                <w:sz w:val="20"/>
              </w:rPr>
              <w:t>2、服务费支付方式：</w:t>
            </w:r>
          </w:p>
          <w:p>
            <w:pPr>
              <w:pStyle w:val="null3"/>
              <w:spacing w:before="180"/>
              <w:ind w:left="480"/>
              <w:jc w:val="both"/>
            </w:pPr>
            <w:r>
              <w:rPr>
                <w:rFonts w:ascii="仿宋_GB2312" w:hAnsi="仿宋_GB2312" w:cs="仿宋_GB2312" w:eastAsia="仿宋_GB2312"/>
                <w:sz w:val="20"/>
              </w:rPr>
              <w:t>2.1 付款方式：</w:t>
            </w:r>
          </w:p>
          <w:p>
            <w:pPr>
              <w:pStyle w:val="null3"/>
              <w:spacing w:before="180"/>
              <w:ind w:firstLine="478"/>
              <w:jc w:val="both"/>
            </w:pPr>
            <w:r>
              <w:rPr>
                <w:rFonts w:ascii="仿宋_GB2312" w:hAnsi="仿宋_GB2312" w:cs="仿宋_GB2312" w:eastAsia="仿宋_GB2312"/>
                <w:sz w:val="20"/>
              </w:rPr>
              <w:t>合同签订后，甲方向乙方支付合同总金额的</w:t>
            </w:r>
            <w:r>
              <w:rPr>
                <w:rFonts w:ascii="仿宋_GB2312" w:hAnsi="仿宋_GB2312" w:cs="仿宋_GB2312" w:eastAsia="仿宋_GB2312"/>
                <w:sz w:val="20"/>
              </w:rPr>
              <w:t>40%；项目施工图完成并交付甲方后，甲方向乙方支付合同剩余总金额的60%；在支付费用之前，乙方需提供等额的发票给甲方。</w:t>
            </w:r>
          </w:p>
          <w:p>
            <w:pPr>
              <w:pStyle w:val="null3"/>
              <w:spacing w:before="45"/>
              <w:ind w:left="480"/>
              <w:jc w:val="both"/>
            </w:pPr>
            <w:r>
              <w:rPr>
                <w:rFonts w:ascii="仿宋_GB2312" w:hAnsi="仿宋_GB2312" w:cs="仿宋_GB2312" w:eastAsia="仿宋_GB2312"/>
                <w:sz w:val="20"/>
              </w:rPr>
              <w:t>2.2 结算方式：银行转账。</w:t>
            </w:r>
          </w:p>
          <w:p>
            <w:pPr>
              <w:pStyle w:val="null3"/>
              <w:spacing w:before="180"/>
              <w:ind w:firstLine="478"/>
              <w:jc w:val="both"/>
            </w:pPr>
            <w:r>
              <w:rPr>
                <w:rFonts w:ascii="仿宋_GB2312" w:hAnsi="仿宋_GB2312" w:cs="仿宋_GB2312" w:eastAsia="仿宋_GB2312"/>
                <w:sz w:val="20"/>
              </w:rPr>
              <w:t>2.3 在甲方支付每笔款项前，乙方应提供符合甲方要求的合法税务发票。否则，甲方有权暂停支付相应款项。</w:t>
            </w:r>
          </w:p>
          <w:p>
            <w:pPr>
              <w:pStyle w:val="null3"/>
              <w:spacing w:before="180"/>
              <w:ind w:left="495"/>
              <w:jc w:val="both"/>
            </w:pPr>
            <w:r>
              <w:rPr>
                <w:rFonts w:ascii="仿宋_GB2312" w:hAnsi="仿宋_GB2312" w:cs="仿宋_GB2312" w:eastAsia="仿宋_GB2312"/>
                <w:sz w:val="20"/>
              </w:rPr>
              <w:t>注：供应商须完全响应此付款方式，否则按无效磋商处理。</w:t>
            </w:r>
          </w:p>
          <w:p>
            <w:pPr>
              <w:pStyle w:val="null3"/>
              <w:spacing w:before="180"/>
              <w:jc w:val="both"/>
            </w:pPr>
            <w:r>
              <w:rPr>
                <w:rFonts w:ascii="仿宋_GB2312" w:hAnsi="仿宋_GB2312" w:cs="仿宋_GB2312" w:eastAsia="仿宋_GB2312"/>
                <w:sz w:val="20"/>
              </w:rPr>
              <w:t>3、质量要求：达到国家相关规范、行业标准及采购人要求。</w:t>
            </w:r>
          </w:p>
          <w:p>
            <w:pPr>
              <w:pStyle w:val="null3"/>
              <w:spacing w:before="180"/>
              <w:jc w:val="both"/>
            </w:pPr>
            <w:r>
              <w:rPr>
                <w:rFonts w:ascii="仿宋_GB2312" w:hAnsi="仿宋_GB2312" w:cs="仿宋_GB2312" w:eastAsia="仿宋_GB2312"/>
                <w:sz w:val="20"/>
              </w:rPr>
              <w:t>4、违约责任：</w:t>
            </w:r>
          </w:p>
          <w:p>
            <w:pPr>
              <w:pStyle w:val="null3"/>
              <w:spacing w:before="180"/>
              <w:ind w:firstLine="478"/>
              <w:jc w:val="both"/>
            </w:pPr>
            <w:r>
              <w:rPr>
                <w:rFonts w:ascii="仿宋_GB2312" w:hAnsi="仿宋_GB2312" w:cs="仿宋_GB2312" w:eastAsia="仿宋_GB2312"/>
                <w:sz w:val="20"/>
              </w:rPr>
              <w:t>4.1 按《民法典》等相关法律法规中的相关条款执行。</w:t>
            </w:r>
          </w:p>
          <w:p>
            <w:pPr>
              <w:pStyle w:val="null3"/>
              <w:spacing w:before="180"/>
              <w:ind w:firstLine="478"/>
              <w:jc w:val="both"/>
            </w:pPr>
            <w:r>
              <w:rPr>
                <w:rFonts w:ascii="仿宋_GB2312" w:hAnsi="仿宋_GB2312" w:cs="仿宋_GB2312" w:eastAsia="仿宋_GB2312"/>
                <w:sz w:val="20"/>
              </w:rPr>
              <w:t>4.2 未按项目要求达到国家相关规范、行业标准及采购人要求，由成交供应商负责整改，并承担相关费用，由此引起一切经济损失及政治影响由成交供应商承担。</w:t>
            </w:r>
          </w:p>
          <w:p>
            <w:pPr>
              <w:pStyle w:val="null3"/>
              <w:spacing w:before="45"/>
              <w:jc w:val="both"/>
            </w:pPr>
            <w:r>
              <w:rPr>
                <w:rFonts w:ascii="仿宋_GB2312" w:hAnsi="仿宋_GB2312" w:cs="仿宋_GB2312" w:eastAsia="仿宋_GB2312"/>
                <w:sz w:val="20"/>
              </w:rPr>
              <w:t>5、验收：</w:t>
            </w:r>
          </w:p>
          <w:p>
            <w:pPr>
              <w:pStyle w:val="null3"/>
              <w:spacing w:before="180"/>
              <w:ind w:left="480"/>
              <w:jc w:val="both"/>
            </w:pPr>
            <w:r>
              <w:rPr>
                <w:rFonts w:ascii="仿宋_GB2312" w:hAnsi="仿宋_GB2312" w:cs="仿宋_GB2312" w:eastAsia="仿宋_GB2312"/>
                <w:sz w:val="20"/>
              </w:rPr>
              <w:t>5.1 验收要求：符合国家相关规范、行业标准及采购人要求。</w:t>
            </w:r>
          </w:p>
          <w:p>
            <w:pPr>
              <w:pStyle w:val="null3"/>
              <w:spacing w:before="180"/>
              <w:ind w:left="480"/>
              <w:jc w:val="both"/>
            </w:pPr>
            <w:r>
              <w:rPr>
                <w:rFonts w:ascii="仿宋_GB2312" w:hAnsi="仿宋_GB2312" w:cs="仿宋_GB2312" w:eastAsia="仿宋_GB2312"/>
                <w:sz w:val="20"/>
              </w:rPr>
              <w:t>5.2 验收依据：经济合同、国家相关的标准和规范。</w:t>
            </w:r>
          </w:p>
          <w:p>
            <w:pPr>
              <w:pStyle w:val="null3"/>
              <w:spacing w:before="180"/>
              <w:jc w:val="both"/>
            </w:pPr>
            <w:r>
              <w:rPr>
                <w:rFonts w:ascii="仿宋_GB2312" w:hAnsi="仿宋_GB2312" w:cs="仿宋_GB2312" w:eastAsia="仿宋_GB2312"/>
                <w:sz w:val="20"/>
              </w:rPr>
              <w:t>6、争议：在签订正式合同时具体约定。</w:t>
            </w:r>
          </w:p>
          <w:p>
            <w:pPr>
              <w:pStyle w:val="null3"/>
              <w:spacing w:before="180"/>
              <w:jc w:val="both"/>
            </w:pPr>
            <w:r>
              <w:rPr>
                <w:rFonts w:ascii="仿宋_GB2312" w:hAnsi="仿宋_GB2312" w:cs="仿宋_GB2312" w:eastAsia="仿宋_GB2312"/>
                <w:sz w:val="20"/>
              </w:rPr>
              <w:t>7、其它要求：</w:t>
            </w:r>
          </w:p>
          <w:p>
            <w:pPr>
              <w:pStyle w:val="null3"/>
              <w:spacing w:before="180"/>
              <w:ind w:left="15" w:firstLine="472"/>
              <w:jc w:val="both"/>
            </w:pPr>
            <w:r>
              <w:rPr>
                <w:rFonts w:ascii="仿宋_GB2312" w:hAnsi="仿宋_GB2312" w:cs="仿宋_GB2312" w:eastAsia="仿宋_GB2312"/>
                <w:sz w:val="20"/>
              </w:rPr>
              <w:t>7.1 成交供应商在服务实施过程中的安全责任由供应商负全责，采购人不承担任何安全责任。</w:t>
            </w:r>
          </w:p>
          <w:p>
            <w:pPr>
              <w:pStyle w:val="null3"/>
              <w:jc w:val="both"/>
            </w:pPr>
            <w:r>
              <w:rPr>
                <w:rFonts w:ascii="仿宋_GB2312" w:hAnsi="仿宋_GB2312" w:cs="仿宋_GB2312" w:eastAsia="仿宋_GB2312"/>
                <w:sz w:val="20"/>
              </w:rPr>
              <w:t xml:space="preserve">        7.2 其它未尽事宜由采购人与成交供应商在采购合同中约定。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验收要求：符合国家相关规范、行业标准及采购人要求。 验收依据：经济合同、国家相关的标准和规范。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项目施工图完成并交付甲方后，在支付费用之前，乙方需提供等额的发票给甲方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合同履行期间，发包人要求终止或解除合同，设计人未开始设计工作的，退还发包人已付的定金；已开始设计工作的，发包人应根据设计人已进行的实际工作量，不足一半时，按该阶段设计费的一半支付；超过一半时，按该阶段设计费的全部支付。 2.发包人应按本合同第五条规定的金额和时间向设计人支付设计费。逾期超过30天以上时，设计人有权暂停履行下阶段工作，并书面通知发包人。 3.设计人对设计资料及文件出现的遗漏或错误负责修改或补充。由于设计人员错误造成工程质量事故损失，设计人除负责采取补救措施外，应免收直接受损失部分的设计费。 4.由于设计自身原因，延误了按本合同第四条规定的设计资料及设计文件的交付时间，每延误一天，应减收该项目应收设计费的千分之二。 5.合同生效后，设计人要求终止或解除合同，设计人应双倍返还定金。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方式：合同签订后，甲方向乙方支付合同总金额的40%；项目施工图完成并交付甲方后，甲方向乙方支付合同剩余总金额的60%；在支付费用之前，乙方需提供等额的发票给甲方。（以此条为准）2、代理服务费由成交单位在领取成交通知书时一次性支付。 3、代理服务费的计算方法：以成交价作为基数，参照发改价格[2011]534号文件及《国家发展改革委关于进一步放开建设项目专业服务价格的通知》（发改价格〔2015〕299号）文的规定标准收取。服务费可以采取银行转账或现金等方式支付。 4、以转账方式缴纳。 收款账户信息： 户名：中科经纬工程技术有限公司 地址：成都市青羊区敬业路218号15栋1楼1号 电话：028-67775960 统一社会信用代码：91510000MA61Y03R4K 开户银行：华夏银行股份有限公司成都分行 银行账号：11350000000923966 成交供应商在中标(成交)结果公告结束后3个工作日内向代理机构提供纸质版响应文件，响应文件为正本1份，副本2份，电子U盘1份(U盘内容包括Word版本、签字盖章扫描后的PDF版本响应文件及电子投标书)。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《政府采购促进中小企业发展管理办法》（财库〔2020〕46号）； （3）《财政部 司法部关于政府采购支持监狱企业发展有关问题的通知》（财库〔2014〕68号）； （4）《国务院办公厅关于建立政府强制采购节能产品制度的通知》（国发办〔2007〕51号）； （5）《关于印发节能产品政府采购品目清单的通知》（财库〔2019〕19号）； （6）《关于印发环境标志产品政府采购品目清单的通知》（财库〔2019〕18号）； （7）《三部门联合发布关于促进残疾人就业政府采购政策的通知》（财库〔2017〕141号）； （8）《财政部 发展改革委 生态环境部 市场监管总局关于调整优化节能产品、环境标志产品政府采购执行机制的通知》（财库〔2019〕9号）； （9）陕西省财政厅关于印发《陕西省中小企业政府采购信用融资办法》（陕财办采〔2018〕23号）； （10）《财政部 农业农村部 国家乡村振兴局关于运用政府采购政策支持乡村产业振兴的通知》（财库〔2021〕19 号）； （11）《财政部 农业农村部 国家乡村振兴局 中华全国供销合作总社关于印发&lt;关于深入开展政府采购脱贫地区农副产品工作推进乡村产业振兴的实施意见&gt;的通知》（财库〔2021〕20号）； （12）《陕西省财政厅关于加快推进我省中小企业政府采购信用融资工作的通知》（陕财办采〔2020〕15号）； （13）《关于进一步加强政府绿色采购有关问题的通知》（陕财办采〔2021〕29号）； （14）《陕西省财政厅、中国人民银行西安分行关于深入推进政府采购信用融资业务的通知》（陕财办采〔2023〕5号）； （15）其他需要落实的政府采购政策，</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w:t>
            </w:r>
          </w:p>
        </w:tc>
        <w:tc>
          <w:tcPr>
            <w:tcW w:type="dxa" w:w="3322"/>
          </w:tcPr>
          <w:p>
            <w:pPr>
              <w:pStyle w:val="null3"/>
            </w:pPr>
            <w:r>
              <w:rPr>
                <w:rFonts w:ascii="仿宋_GB2312" w:hAnsi="仿宋_GB2312" w:cs="仿宋_GB2312" w:eastAsia="仿宋_GB2312"/>
              </w:rPr>
              <w:t>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供应商及项目负责人</w:t>
            </w:r>
          </w:p>
        </w:tc>
        <w:tc>
          <w:tcPr>
            <w:tcW w:type="dxa" w:w="3322"/>
          </w:tcPr>
          <w:p>
            <w:pPr>
              <w:pStyle w:val="null3"/>
            </w:pPr>
            <w:r>
              <w:rPr>
                <w:rFonts w:ascii="仿宋_GB2312" w:hAnsi="仿宋_GB2312" w:cs="仿宋_GB2312" w:eastAsia="仿宋_GB2312"/>
              </w:rPr>
              <w:t>供应商须具备工程设计综合资质甲级或建筑行业工程设计乙级及以上或建筑行业（建筑工程）专业乙级及以上资质；拟派项目负责人须具备二级及以上注册建筑师执业资格且在本单位注册。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列入“信用中国”网站（www.creditchina.gov.cn）失信被执行人名单、重大税收违法失信主体、政府采购严重违法失信行为记录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供应商报价是固定价且未超过预算金额（采购文件有最高限价的，报价未超过最高限价）</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磋商响应文件签字盖章、格式</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磋商报价表.docx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项目理解及针对本项目的任务分析</w:t>
            </w:r>
          </w:p>
        </w:tc>
        <w:tc>
          <w:tcPr>
            <w:tcW w:type="dxa" w:w="2492"/>
          </w:tcPr>
          <w:p>
            <w:pPr>
              <w:pStyle w:val="null3"/>
            </w:pPr>
            <w:r>
              <w:rPr>
                <w:rFonts w:ascii="仿宋_GB2312" w:hAnsi="仿宋_GB2312" w:cs="仿宋_GB2312" w:eastAsia="仿宋_GB2312"/>
              </w:rPr>
              <w:t>项目理解到位、分析准确，掌握项目各项工作要求，任务分析全面完善，计10分； 项目理解基本准确，了解项目相关情况，基本掌握项目各项工作要求，任务分析基本全面，计7分； 项目理解有欠缺，相关情况了解有欠缺，掌握项目基础工作要求，任务分析片面，计4分； 项目理解不准确，任务分析有欠缺，计2分； 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总体设计思路及方案</w:t>
            </w:r>
          </w:p>
        </w:tc>
        <w:tc>
          <w:tcPr>
            <w:tcW w:type="dxa" w:w="2492"/>
          </w:tcPr>
          <w:p>
            <w:pPr>
              <w:pStyle w:val="null3"/>
            </w:pPr>
            <w:r>
              <w:rPr>
                <w:rFonts w:ascii="仿宋_GB2312" w:hAnsi="仿宋_GB2312" w:cs="仿宋_GB2312" w:eastAsia="仿宋_GB2312"/>
              </w:rPr>
              <w:t>方案设计思路合理、严谨、清晰，方案设计完整，图纸表述详尽，有效果图展示，针对性、可行性强，得20分； 方案设计思路较合理、清晰，设计方案较完整，图纸表述较详尽，针对性、可行性一般，得15分； 方案设计思路基本明确、合理，设计方案普遍通用，描述简单，针对性、可行性一般，得10分； 方案设计思路需进一步梳理，设计方案不完整，描述模糊，针对性、可行性欠缺，得5分； 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A.人员组织架构完整，岗位设置合理、明确，技术人员专业性、经验性强，且对本项目有针对性，得6分； B.人员组织架构有待优化，技术人员岗位设置基本合理，人员专业性、经验性一般，得4分； C.人员组织架构不完整，人员岗位设置紧张，技术人员专业性、经验性欠缺，得2分；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人员配备措施.docx</w:t>
            </w:r>
          </w:p>
        </w:tc>
      </w:tr>
      <w:tr>
        <w:tc>
          <w:tcPr>
            <w:tcW w:type="dxa" w:w="831"/>
            <w:vMerge/>
          </w:tcPr>
          <w:p/>
        </w:tc>
        <w:tc>
          <w:tcPr>
            <w:tcW w:type="dxa" w:w="1661"/>
          </w:tcPr>
          <w:p>
            <w:pPr>
              <w:pStyle w:val="null3"/>
            </w:pPr>
            <w:r>
              <w:rPr>
                <w:rFonts w:ascii="仿宋_GB2312" w:hAnsi="仿宋_GB2312" w:cs="仿宋_GB2312" w:eastAsia="仿宋_GB2312"/>
              </w:rPr>
              <w:t>进度计划及保障</w:t>
            </w:r>
          </w:p>
        </w:tc>
        <w:tc>
          <w:tcPr>
            <w:tcW w:type="dxa" w:w="2492"/>
          </w:tcPr>
          <w:p>
            <w:pPr>
              <w:pStyle w:val="null3"/>
            </w:pPr>
            <w:r>
              <w:rPr>
                <w:rFonts w:ascii="仿宋_GB2312" w:hAnsi="仿宋_GB2312" w:cs="仿宋_GB2312" w:eastAsia="仿宋_GB2312"/>
              </w:rPr>
              <w:t>根据设计工作进度计划安排的合理性、与本项目实际情况的符合性，进度保证措施的可靠性、可实施性进行评分： A.进度安排合理可行，进度保证措施详细、工作节点清晰，得6分； B.进度安排基本合理，进度保证措施不明确，需进一步协调，得4分； C.进度安排不合理，进度保证措施简单，得2分；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A.设计质量保障措施描述严谨、完整合理、切实可行，针对性、可行性强，得7分； B.设计质量保障措施描述清晰但不够完整，基本合理性，针对性、可行性一般，得5分； C.设计质量保障措施描述简单，合理性、严谨度一般，针对性、可行性一般，得3分； D.设计质量保障措施描述不够清晰，合理性一般，针对性、可行性欠缺，得1分； E.其他或未提供得0分。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对项目重难点、关键性技术问题的认识及其对策措施： A.对项目重难点、关键性技术问题的把握准确、分析到位，所提供的对策措施完善，有较强的针对性，得5分； B.对项目重难点、关键性技术问题的把握基本准确、分析简单，所提供的对策措施合理，有一定的针对性，得4分； C.对项目重难点、关键性技术问题的把握有偏差、分析欠缺，所提供的对策措施简单普遍，对本项目没有针对性，得2分。 D.其他或未提供得0分。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A.控制措施内容完整，描述详尽，针对性、可行性强得10分； B.控制措施描述清晰但不够完整，基本合理，针对性、可行性一般得7分； C.控制措施描述简单，合理性、严谨度一般，针对性、可行性一般，得4分； D.控制措施描述不够清晰，合理性一般，针对性、可行性欠缺，得2分； E.其他或未提供得0分。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日至今类似项目业绩，1个得5分，最高10分。（以合同或协议签订日期为准，响应文件中附加盖公章的合同或协议复印件，否则不作为评审依据）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A.承诺内容全面，描述详尽，针对性、可行性强，得6分； B.承诺内容较全面，描述较详尽，针对性、可行性一般，得4分； C.承诺内容简单，描述粗略，针对性、可行性一般得2分； D.承诺内容简单笼统，针对性、可行性欠缺，得1分； E.其他或未提供得0分。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商务条款偏离表.docx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详见附件：供应商认为有必要说明的其他资料.docx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详见附件：人员配备措施.docx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详见附件：设计合同最终.docx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