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F5D8F6">
      <w:pPr>
        <w:pStyle w:val="2"/>
      </w:pPr>
      <w:bookmarkStart w:id="3" w:name="_GoBack"/>
      <w:bookmarkEnd w:id="3"/>
      <w:bookmarkStart w:id="0" w:name="_Toc31086"/>
      <w:r>
        <w:rPr>
          <w:rFonts w:hint="eastAsia"/>
        </w:rPr>
        <w:t>合同条款（参考）</w:t>
      </w:r>
      <w:bookmarkEnd w:id="0"/>
    </w:p>
    <w:p w14:paraId="0E9D7A24">
      <w:pPr>
        <w:spacing w:before="276" w:line="224" w:lineRule="auto"/>
        <w:jc w:val="right"/>
        <w:rPr>
          <w:rFonts w:ascii="仿宋" w:hAnsi="仿宋" w:eastAsia="仿宋" w:cs="仿宋"/>
          <w:sz w:val="28"/>
          <w:szCs w:val="28"/>
        </w:rPr>
      </w:pPr>
      <w:r>
        <w:rPr>
          <w:rFonts w:ascii="仿宋" w:hAnsi="仿宋" w:eastAsia="仿宋" w:cs="仿宋"/>
          <w:spacing w:val="-5"/>
          <w:sz w:val="28"/>
          <w:szCs w:val="28"/>
        </w:rPr>
        <w:t xml:space="preserve">合同编号： </w:t>
      </w:r>
      <w:r>
        <w:rPr>
          <w:rFonts w:ascii="仿宋" w:hAnsi="仿宋" w:eastAsia="仿宋" w:cs="仿宋"/>
          <w:sz w:val="28"/>
          <w:szCs w:val="28"/>
          <w:u w:val="single" w:color="auto"/>
        </w:rPr>
        <w:t xml:space="preserve">      </w:t>
      </w:r>
    </w:p>
    <w:p w14:paraId="372B9167">
      <w:pPr>
        <w:pStyle w:val="4"/>
        <w:spacing w:line="245" w:lineRule="auto"/>
      </w:pPr>
    </w:p>
    <w:p w14:paraId="51A54ADB">
      <w:pPr>
        <w:pStyle w:val="4"/>
        <w:spacing w:line="245" w:lineRule="auto"/>
      </w:pPr>
    </w:p>
    <w:p w14:paraId="6AE35160">
      <w:pPr>
        <w:pStyle w:val="4"/>
        <w:spacing w:line="245" w:lineRule="auto"/>
      </w:pPr>
    </w:p>
    <w:p w14:paraId="12E294B2">
      <w:pPr>
        <w:pStyle w:val="4"/>
        <w:spacing w:line="245" w:lineRule="auto"/>
      </w:pPr>
    </w:p>
    <w:p w14:paraId="059DB47E">
      <w:pPr>
        <w:pStyle w:val="4"/>
        <w:spacing w:line="245" w:lineRule="auto"/>
      </w:pPr>
    </w:p>
    <w:p w14:paraId="2D4FAA1E">
      <w:pPr>
        <w:pStyle w:val="4"/>
        <w:spacing w:line="246" w:lineRule="auto"/>
      </w:pPr>
    </w:p>
    <w:p w14:paraId="047507F5">
      <w:pPr>
        <w:pStyle w:val="4"/>
        <w:spacing w:line="246" w:lineRule="auto"/>
      </w:pPr>
    </w:p>
    <w:p w14:paraId="01B8F4C1">
      <w:pPr>
        <w:pStyle w:val="4"/>
        <w:spacing w:line="246" w:lineRule="auto"/>
      </w:pPr>
    </w:p>
    <w:p w14:paraId="5B22882E">
      <w:pPr>
        <w:pStyle w:val="4"/>
        <w:spacing w:line="246" w:lineRule="auto"/>
      </w:pPr>
    </w:p>
    <w:p w14:paraId="2EC0D046">
      <w:pPr>
        <w:spacing w:before="98" w:line="225" w:lineRule="auto"/>
        <w:jc w:val="center"/>
        <w:rPr>
          <w:rFonts w:hint="eastAsia" w:ascii="宋体" w:hAnsi="宋体" w:eastAsia="宋体" w:cs="宋体"/>
          <w:b/>
          <w:bCs/>
          <w:color w:val="auto"/>
          <w:spacing w:val="7"/>
          <w:position w:val="1"/>
          <w:sz w:val="30"/>
          <w:szCs w:val="30"/>
          <w:highlight w:val="none"/>
          <w:lang w:eastAsia="zh-CN"/>
        </w:rPr>
      </w:pPr>
      <w:bookmarkStart w:id="1" w:name="bookmark9"/>
      <w:bookmarkEnd w:id="1"/>
      <w:bookmarkStart w:id="2" w:name="_Toc30270"/>
      <w:r>
        <w:rPr>
          <w:rFonts w:hint="eastAsia" w:ascii="宋体" w:hAnsi="宋体" w:eastAsia="宋体" w:cs="宋体"/>
          <w:b/>
          <w:bCs/>
          <w:color w:val="auto"/>
          <w:spacing w:val="7"/>
          <w:position w:val="1"/>
          <w:sz w:val="30"/>
          <w:szCs w:val="30"/>
          <w:highlight w:val="none"/>
          <w:lang w:eastAsia="zh-CN"/>
        </w:rPr>
        <w:t>长安区长安区2025年残疾人家庭医生签约服务项目</w:t>
      </w:r>
    </w:p>
    <w:p w14:paraId="6325EFBD">
      <w:pPr>
        <w:spacing w:before="98" w:line="225" w:lineRule="auto"/>
        <w:jc w:val="center"/>
        <w:rPr>
          <w:rFonts w:ascii="宋体" w:hAnsi="宋体" w:eastAsia="宋体" w:cs="宋体"/>
          <w:color w:val="auto"/>
          <w:sz w:val="30"/>
          <w:szCs w:val="30"/>
          <w:highlight w:val="none"/>
        </w:rPr>
      </w:pPr>
      <w:r>
        <w:rPr>
          <w:rFonts w:ascii="宋体" w:hAnsi="宋体" w:eastAsia="宋体" w:cs="宋体"/>
          <w:b/>
          <w:bCs/>
          <w:color w:val="auto"/>
          <w:spacing w:val="7"/>
          <w:position w:val="-2"/>
          <w:sz w:val="30"/>
          <w:szCs w:val="30"/>
          <w:highlight w:val="none"/>
        </w:rPr>
        <w:t>协议书</w:t>
      </w:r>
    </w:p>
    <w:p w14:paraId="57D320E0">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color w:val="auto"/>
          <w:highlight w:val="none"/>
        </w:rPr>
      </w:pPr>
    </w:p>
    <w:p w14:paraId="504B4FD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6"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9"/>
          <w:sz w:val="24"/>
          <w:szCs w:val="24"/>
          <w:highlight w:val="none"/>
        </w:rPr>
        <w:t>协议编号：</w:t>
      </w:r>
    </w:p>
    <w:p w14:paraId="43CBB7C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52" w:firstLineChars="200"/>
        <w:jc w:val="left"/>
        <w:textAlignment w:val="center"/>
        <w:rPr>
          <w:rFonts w:hint="eastAsia" w:ascii="宋体" w:hAnsi="宋体" w:eastAsia="宋体" w:cs="宋体"/>
          <w:i w:val="0"/>
          <w:iCs w:val="0"/>
          <w:color w:val="auto"/>
          <w:sz w:val="24"/>
          <w:szCs w:val="24"/>
          <w:highlight w:val="none"/>
          <w:lang w:val="en-US" w:eastAsia="zh-CN"/>
        </w:rPr>
      </w:pPr>
      <w:r>
        <w:rPr>
          <w:rFonts w:hint="eastAsia" w:ascii="宋体" w:hAnsi="宋体" w:eastAsia="宋体" w:cs="宋体"/>
          <w:i w:val="0"/>
          <w:iCs w:val="0"/>
          <w:color w:val="auto"/>
          <w:spacing w:val="18"/>
          <w:sz w:val="24"/>
          <w:szCs w:val="24"/>
          <w:highlight w:val="none"/>
        </w:rPr>
        <w:t>甲方：</w:t>
      </w:r>
      <w:r>
        <w:rPr>
          <w:rFonts w:hint="eastAsia" w:ascii="宋体" w:hAnsi="宋体" w:eastAsia="宋体" w:cs="宋体"/>
          <w:i w:val="0"/>
          <w:iCs w:val="0"/>
          <w:color w:val="auto"/>
          <w:spacing w:val="18"/>
          <w:sz w:val="24"/>
          <w:szCs w:val="24"/>
          <w:highlight w:val="none"/>
          <w:lang w:val="en-US" w:eastAsia="zh-CN"/>
        </w:rPr>
        <w:t xml:space="preserve"> </w:t>
      </w:r>
    </w:p>
    <w:p w14:paraId="3B507A6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28" w:firstLineChars="200"/>
        <w:jc w:val="left"/>
        <w:textAlignment w:val="center"/>
        <w:rPr>
          <w:rFonts w:hint="eastAsia" w:ascii="宋体" w:hAnsi="宋体" w:eastAsia="宋体" w:cs="宋体"/>
          <w:i w:val="0"/>
          <w:iCs w:val="0"/>
          <w:color w:val="auto"/>
          <w:spacing w:val="2"/>
          <w:sz w:val="24"/>
          <w:szCs w:val="24"/>
          <w:highlight w:val="none"/>
        </w:rPr>
      </w:pPr>
      <w:r>
        <w:rPr>
          <w:rFonts w:hint="eastAsia" w:ascii="宋体" w:hAnsi="宋体" w:eastAsia="宋体" w:cs="宋体"/>
          <w:i w:val="0"/>
          <w:iCs w:val="0"/>
          <w:color w:val="auto"/>
          <w:spacing w:val="12"/>
          <w:sz w:val="24"/>
          <w:szCs w:val="24"/>
          <w:highlight w:val="none"/>
        </w:rPr>
        <w:t>法定代表人：</w:t>
      </w:r>
      <w:r>
        <w:rPr>
          <w:rFonts w:hint="eastAsia" w:ascii="宋体" w:hAnsi="宋体" w:eastAsia="宋体" w:cs="宋体"/>
          <w:i w:val="0"/>
          <w:iCs w:val="0"/>
          <w:color w:val="auto"/>
          <w:spacing w:val="2"/>
          <w:sz w:val="24"/>
          <w:szCs w:val="24"/>
          <w:highlight w:val="none"/>
        </w:rPr>
        <w:t xml:space="preserve"> </w:t>
      </w:r>
    </w:p>
    <w:p w14:paraId="254276C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8"/>
          <w:sz w:val="24"/>
          <w:szCs w:val="24"/>
          <w:highlight w:val="none"/>
        </w:rPr>
        <w:t>联系人：</w:t>
      </w:r>
    </w:p>
    <w:p w14:paraId="42E78CF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color w:val="auto"/>
          <w:spacing w:val="8"/>
          <w:sz w:val="24"/>
          <w:szCs w:val="24"/>
          <w:highlight w:val="none"/>
        </w:rPr>
      </w:pPr>
      <w:r>
        <w:rPr>
          <w:rFonts w:hint="eastAsia" w:ascii="宋体" w:hAnsi="宋体" w:eastAsia="宋体" w:cs="宋体"/>
          <w:i w:val="0"/>
          <w:iCs w:val="0"/>
          <w:color w:val="auto"/>
          <w:spacing w:val="8"/>
          <w:sz w:val="24"/>
          <w:szCs w:val="24"/>
          <w:highlight w:val="none"/>
        </w:rPr>
        <w:t>联系地址：</w:t>
      </w:r>
    </w:p>
    <w:p w14:paraId="6F3EB67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color w:val="auto"/>
          <w:spacing w:val="8"/>
          <w:sz w:val="24"/>
          <w:szCs w:val="24"/>
          <w:highlight w:val="none"/>
        </w:rPr>
      </w:pPr>
      <w:r>
        <w:rPr>
          <w:rFonts w:hint="eastAsia" w:ascii="宋体" w:hAnsi="宋体" w:eastAsia="宋体" w:cs="宋体"/>
          <w:i w:val="0"/>
          <w:iCs w:val="0"/>
          <w:color w:val="auto"/>
          <w:spacing w:val="8"/>
          <w:sz w:val="24"/>
          <w:szCs w:val="24"/>
          <w:highlight w:val="none"/>
        </w:rPr>
        <w:t>邮编：</w:t>
      </w:r>
    </w:p>
    <w:p w14:paraId="69448C2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color w:val="auto"/>
          <w:spacing w:val="8"/>
          <w:sz w:val="24"/>
          <w:szCs w:val="24"/>
          <w:highlight w:val="none"/>
        </w:rPr>
      </w:pPr>
      <w:r>
        <w:rPr>
          <w:rFonts w:hint="eastAsia" w:ascii="宋体" w:hAnsi="宋体" w:eastAsia="宋体" w:cs="宋体"/>
          <w:i w:val="0"/>
          <w:iCs w:val="0"/>
          <w:color w:val="auto"/>
          <w:spacing w:val="8"/>
          <w:sz w:val="24"/>
          <w:szCs w:val="24"/>
          <w:highlight w:val="none"/>
        </w:rPr>
        <w:t>电话：</w:t>
      </w:r>
    </w:p>
    <w:p w14:paraId="2140F18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2"/>
          <w:sz w:val="24"/>
          <w:szCs w:val="24"/>
          <w:highlight w:val="none"/>
        </w:rPr>
        <w:t>乙方：</w:t>
      </w:r>
    </w:p>
    <w:p w14:paraId="1FF98FB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left"/>
        <w:textAlignment w:val="center"/>
        <w:rPr>
          <w:rFonts w:hint="eastAsia" w:ascii="宋体" w:hAnsi="宋体" w:eastAsia="宋体" w:cs="宋体"/>
          <w:i w:val="0"/>
          <w:iCs w:val="0"/>
          <w:color w:val="auto"/>
          <w:spacing w:val="2"/>
          <w:sz w:val="24"/>
          <w:szCs w:val="24"/>
          <w:highlight w:val="none"/>
        </w:rPr>
      </w:pPr>
      <w:r>
        <w:rPr>
          <w:rFonts w:hint="eastAsia" w:ascii="宋体" w:hAnsi="宋体" w:eastAsia="宋体" w:cs="宋体"/>
          <w:i w:val="0"/>
          <w:iCs w:val="0"/>
          <w:color w:val="auto"/>
          <w:spacing w:val="12"/>
          <w:sz w:val="24"/>
          <w:szCs w:val="24"/>
          <w:highlight w:val="none"/>
        </w:rPr>
        <w:t>法定代表人：</w:t>
      </w:r>
      <w:r>
        <w:rPr>
          <w:rFonts w:hint="eastAsia" w:ascii="宋体" w:hAnsi="宋体" w:eastAsia="宋体" w:cs="宋体"/>
          <w:i w:val="0"/>
          <w:iCs w:val="0"/>
          <w:color w:val="auto"/>
          <w:spacing w:val="2"/>
          <w:sz w:val="24"/>
          <w:szCs w:val="24"/>
          <w:highlight w:val="none"/>
        </w:rPr>
        <w:t xml:space="preserve"> </w:t>
      </w:r>
    </w:p>
    <w:p w14:paraId="3ED8D6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8"/>
          <w:sz w:val="24"/>
          <w:szCs w:val="24"/>
          <w:highlight w:val="none"/>
        </w:rPr>
        <w:t>联系人：</w:t>
      </w:r>
    </w:p>
    <w:p w14:paraId="247C4AF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9"/>
          <w:sz w:val="24"/>
          <w:szCs w:val="24"/>
          <w:highlight w:val="none"/>
        </w:rPr>
        <w:t>联系地址：</w:t>
      </w:r>
      <w:r>
        <w:rPr>
          <w:rFonts w:hint="eastAsia" w:ascii="宋体" w:hAnsi="宋体" w:eastAsia="宋体" w:cs="宋体"/>
          <w:i w:val="0"/>
          <w:iCs w:val="0"/>
          <w:color w:val="auto"/>
          <w:sz w:val="24"/>
          <w:szCs w:val="24"/>
          <w:highlight w:val="none"/>
        </w:rPr>
        <w:t xml:space="preserve"> </w:t>
      </w:r>
    </w:p>
    <w:p w14:paraId="09D355C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4"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1"/>
          <w:sz w:val="24"/>
          <w:szCs w:val="24"/>
          <w:highlight w:val="none"/>
        </w:rPr>
        <w:t>邮编：</w:t>
      </w:r>
    </w:p>
    <w:p w14:paraId="77E5A47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4" w:firstLineChars="200"/>
        <w:jc w:val="left"/>
        <w:textAlignment w:val="center"/>
        <w:rPr>
          <w:color w:val="auto"/>
          <w:sz w:val="24"/>
          <w:szCs w:val="24"/>
          <w:highlight w:val="none"/>
        </w:rPr>
      </w:pPr>
      <w:r>
        <w:rPr>
          <w:rFonts w:hint="eastAsia" w:ascii="宋体" w:hAnsi="宋体" w:eastAsia="宋体" w:cs="宋体"/>
          <w:i w:val="0"/>
          <w:iCs w:val="0"/>
          <w:color w:val="auto"/>
          <w:spacing w:val="1"/>
          <w:sz w:val="24"/>
          <w:szCs w:val="24"/>
          <w:highlight w:val="none"/>
        </w:rPr>
        <w:t>电话：</w:t>
      </w:r>
    </w:p>
    <w:p w14:paraId="663DA9A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08"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甲方购买</w:t>
      </w:r>
      <w:r>
        <w:rPr>
          <w:rFonts w:hint="eastAsia" w:ascii="宋体" w:hAnsi="宋体" w:eastAsia="宋体" w:cs="宋体"/>
          <w:color w:val="auto"/>
          <w:spacing w:val="-86"/>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7"/>
          <w:sz w:val="24"/>
          <w:szCs w:val="24"/>
          <w:highlight w:val="none"/>
          <w:lang w:val="en-US" w:eastAsia="zh-CN"/>
        </w:rPr>
        <w:t>服务</w:t>
      </w:r>
      <w:r>
        <w:rPr>
          <w:rFonts w:hint="eastAsia" w:ascii="宋体" w:hAnsi="宋体" w:eastAsia="宋体" w:cs="宋体"/>
          <w:color w:val="auto"/>
          <w:spacing w:val="7"/>
          <w:sz w:val="24"/>
          <w:szCs w:val="24"/>
          <w:highlight w:val="none"/>
        </w:rPr>
        <w:t>，甲方按照</w:t>
      </w:r>
      <w:r>
        <w:rPr>
          <w:rFonts w:hint="eastAsia" w:ascii="宋体" w:hAnsi="宋体" w:eastAsia="宋体" w:cs="宋体"/>
          <w:color w:val="auto"/>
          <w:spacing w:val="-90"/>
          <w:sz w:val="24"/>
          <w:szCs w:val="24"/>
          <w:highlight w:val="none"/>
        </w:rPr>
        <w:t xml:space="preserve"> </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lang w:eastAsia="zh-CN"/>
        </w:rPr>
        <w:t>竞争性磋商</w:t>
      </w:r>
      <w:r>
        <w:rPr>
          <w:rFonts w:hint="eastAsia" w:ascii="宋体" w:hAnsi="宋体" w:eastAsia="宋体" w:cs="宋体"/>
          <w:color w:val="auto"/>
          <w:spacing w:val="7"/>
          <w:sz w:val="24"/>
          <w:szCs w:val="24"/>
          <w:highlight w:val="none"/>
        </w:rPr>
        <w:t>方式</w:t>
      </w:r>
      <w:r>
        <w:rPr>
          <w:rFonts w:hint="eastAsia" w:ascii="宋体" w:hAnsi="宋体" w:eastAsia="宋体" w:cs="宋体"/>
          <w:color w:val="auto"/>
          <w:spacing w:val="25"/>
          <w:sz w:val="24"/>
          <w:szCs w:val="24"/>
          <w:highlight w:val="none"/>
        </w:rPr>
        <w:t>经评标委员会综</w:t>
      </w:r>
      <w:r>
        <w:rPr>
          <w:rFonts w:hint="eastAsia" w:ascii="宋体" w:hAnsi="宋体" w:eastAsia="宋体" w:cs="宋体"/>
          <w:color w:val="auto"/>
          <w:spacing w:val="16"/>
          <w:sz w:val="24"/>
          <w:szCs w:val="24"/>
          <w:highlight w:val="none"/>
        </w:rPr>
        <w:t>合评定</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16"/>
          <w:sz w:val="24"/>
          <w:szCs w:val="24"/>
          <w:highlight w:val="none"/>
        </w:rPr>
        <w:t>，</w:t>
      </w:r>
      <w:r>
        <w:rPr>
          <w:rFonts w:hint="eastAsia" w:ascii="宋体" w:hAnsi="宋体" w:eastAsia="宋体" w:cs="宋体"/>
          <w:color w:val="auto"/>
          <w:spacing w:val="16"/>
          <w:sz w:val="24"/>
          <w:szCs w:val="24"/>
          <w:highlight w:val="none"/>
          <w:u w:val="single" w:color="auto"/>
        </w:rPr>
        <w:t xml:space="preserve">            </w:t>
      </w:r>
      <w:r>
        <w:rPr>
          <w:rFonts w:hint="eastAsia" w:ascii="宋体" w:hAnsi="宋体" w:eastAsia="宋体" w:cs="宋体"/>
          <w:color w:val="auto"/>
          <w:spacing w:val="16"/>
          <w:sz w:val="24"/>
          <w:szCs w:val="24"/>
          <w:highlight w:val="none"/>
        </w:rPr>
        <w:t>为中标人，承接此项目。</w:t>
      </w:r>
      <w:r>
        <w:rPr>
          <w:rFonts w:hint="eastAsia" w:ascii="宋体" w:hAnsi="宋体" w:eastAsia="宋体" w:cs="宋体"/>
          <w:color w:val="auto"/>
          <w:spacing w:val="15"/>
          <w:sz w:val="24"/>
          <w:szCs w:val="24"/>
          <w:highlight w:val="none"/>
        </w:rPr>
        <w:t>为保证项目实施，现甲乙双方共同协</w:t>
      </w:r>
      <w:r>
        <w:rPr>
          <w:rFonts w:hint="eastAsia" w:ascii="宋体" w:hAnsi="宋体" w:eastAsia="宋体" w:cs="宋体"/>
          <w:color w:val="auto"/>
          <w:spacing w:val="18"/>
          <w:sz w:val="24"/>
          <w:szCs w:val="24"/>
          <w:highlight w:val="none"/>
        </w:rPr>
        <w:t>商订立本协议，双方应严格遵守并履行协议约定：</w:t>
      </w:r>
    </w:p>
    <w:p w14:paraId="36082EB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w:t>
      </w:r>
      <w:r>
        <w:rPr>
          <w:rFonts w:hint="eastAsia" w:ascii="宋体" w:hAnsi="宋体" w:eastAsia="宋体" w:cs="宋体"/>
          <w:color w:val="auto"/>
          <w:spacing w:val="-39"/>
          <w:sz w:val="24"/>
          <w:szCs w:val="24"/>
          <w:highlight w:val="none"/>
        </w:rPr>
        <w:t xml:space="preserve"> </w:t>
      </w:r>
      <w:r>
        <w:rPr>
          <w:rFonts w:hint="eastAsia" w:ascii="宋体" w:hAnsi="宋体" w:eastAsia="宋体" w:cs="宋体"/>
          <w:color w:val="auto"/>
          <w:spacing w:val="-10"/>
          <w:sz w:val="24"/>
          <w:szCs w:val="24"/>
          <w:highlight w:val="none"/>
        </w:rPr>
        <w:t>协议文件组成</w:t>
      </w:r>
    </w:p>
    <w:p w14:paraId="5EA2AF2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84"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6"/>
          <w:sz w:val="24"/>
          <w:szCs w:val="24"/>
          <w:highlight w:val="none"/>
          <w:lang w:val="en-US" w:eastAsia="zh-CN"/>
        </w:rPr>
        <w:t>下</w:t>
      </w:r>
      <w:r>
        <w:rPr>
          <w:rFonts w:hint="eastAsia" w:ascii="宋体" w:hAnsi="宋体" w:eastAsia="宋体" w:cs="宋体"/>
          <w:color w:val="auto"/>
          <w:spacing w:val="26"/>
          <w:sz w:val="24"/>
          <w:szCs w:val="24"/>
          <w:highlight w:val="none"/>
        </w:rPr>
        <w:t>列文件均为本协议不可分割的组成部分，互为补充和解释，</w:t>
      </w:r>
      <w:r>
        <w:rPr>
          <w:rFonts w:hint="eastAsia" w:ascii="宋体" w:hAnsi="宋体" w:eastAsia="宋体" w:cs="宋体"/>
          <w:color w:val="auto"/>
          <w:spacing w:val="25"/>
          <w:sz w:val="24"/>
          <w:szCs w:val="24"/>
          <w:highlight w:val="none"/>
        </w:rPr>
        <w:t>如有不清或相互矛</w:t>
      </w:r>
      <w:r>
        <w:rPr>
          <w:rFonts w:hint="eastAsia" w:ascii="宋体" w:hAnsi="宋体" w:eastAsia="宋体" w:cs="宋体"/>
          <w:color w:val="auto"/>
          <w:spacing w:val="19"/>
          <w:sz w:val="24"/>
          <w:szCs w:val="24"/>
          <w:highlight w:val="none"/>
        </w:rPr>
        <w:t>盾之处，以所列顺序在前的为准，但甲乙双方有特别约定的除外：</w:t>
      </w:r>
    </w:p>
    <w:p w14:paraId="7AE8BB3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1.1 项目采购文件和中标通知书</w:t>
      </w:r>
    </w:p>
    <w:p w14:paraId="1F00B8A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1.2 本协议书</w:t>
      </w:r>
    </w:p>
    <w:p w14:paraId="4B7A268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1.3  政府购买残疾人服务项目任务书(服务项目任务书格式由招标方根据服务项目及相关标准和规范自行制定，并明确协议双方各自的权利和义务，以及考核、验收 等事项，作为合同附件。)</w:t>
      </w:r>
    </w:p>
    <w:p w14:paraId="2C53A9B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2. 项目主要要求</w:t>
      </w:r>
    </w:p>
    <w:p w14:paraId="6D7918B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2.1  本协议书中项目主要要求包括：</w:t>
      </w:r>
    </w:p>
    <w:p w14:paraId="65F3FC6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2.1.1、服务内容：参照《陕西省残疾人精准康复家庭医生签约服务目录（试行）》及《长安区2025年残疾人家庭医生签约服务实施方案》。</w:t>
      </w:r>
    </w:p>
    <w:p w14:paraId="5029D34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（一）基本医疗服务。按照签约协议内容，提供常见病、多发病诊疗服务、合理用药和转诊预约等基本医疗服务。</w:t>
      </w:r>
    </w:p>
    <w:p w14:paraId="73BEE7B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（二）基本公共卫生服务。按国家基本公共卫生服务项目要求，为符合条件的签约残疾人提供相关的基本公共卫生服务。</w:t>
      </w:r>
    </w:p>
    <w:p w14:paraId="3251D32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（三）健康管理。根据签约残疾人对健康服务的实际需求提供不同的健康管理服务。</w:t>
      </w:r>
    </w:p>
    <w:p w14:paraId="04C6C80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四）基本康复服务。签约服务团队参照《陕西省残疾人精准康复家庭医生签约服务目录（试行）》，根据各康复机构实际，提供与服务能力和水平相适应的服务项目；或为视力、听力、精神、智力和肢体残疾人及残疾儿童少年提供上门访视、家庭护理、康复、用药、训练指导；提供康复知识宣传、适应性训练、辅助器具适配、支持性服务、康复转介等服务。</w:t>
      </w:r>
    </w:p>
    <w:p w14:paraId="54FADB5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五）精准康复服务。签约服务团队要对有辅具、手术、专业机构康复训练和精神病住院、服药需求的签约残疾人实施转介服务，引导残疾人参照《西安市残疾人精准康复服务行动实施方案》的附件“西安市残疾人基本康复服务目录及救助标准”，到各定点机构申请精准康复服务。</w:t>
      </w:r>
    </w:p>
    <w:p w14:paraId="11DDD28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（六）心理咨询服务。为有心理困惑的残疾人及家属提供心理咨询服务。重点解决青少年的成长、学习中出现的困惑问题，青壮年人的婚姻家庭问题，老年人的陪伴、关怀等问题。</w:t>
      </w:r>
    </w:p>
    <w:p w14:paraId="2BF65A3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（七）服务内容及标准具体参照参照《陕西省残疾人精准康复家庭医生签约服务目录（试行）》服务内容及标准附件。</w:t>
      </w:r>
    </w:p>
    <w:p w14:paraId="264DBED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2.2、服务对象：</w:t>
      </w:r>
    </w:p>
    <w:p w14:paraId="2C499C1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在全县全面开展残疾人家庭医生签约服务，确保覆盖三瘫一截人员、上一年度全县残疾人基本服务状况和需求信息动态更新系统中有需求的残疾人、有心理障碍的残疾人及家属、一户多残家庭的残疾人。</w:t>
      </w:r>
    </w:p>
    <w:p w14:paraId="25DB3C1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服务目标：进一步完善残疾人签约团队，丰富残疾人家庭医生服务内容，提升服务质量，完善工作机制，扩大签约服务覆盖面。坚持“应签尽签、签约一人、履约一人、做实一人”的原则，到2025年底信息系统动态更新中有康复需求持证残疾人家庭医生签约率达100%。</w:t>
      </w:r>
    </w:p>
    <w:p w14:paraId="6146123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采购的残疾人家庭医生签约服务机构，须接受采购人的业务管理，考评监督，并由采购人依据国家确定费用标准及考核办法进行考核。</w:t>
      </w:r>
    </w:p>
    <w:p w14:paraId="100A320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lang w:val="en-US" w:eastAsia="zh-CN"/>
        </w:rPr>
        <w:t>2.4</w:t>
      </w:r>
      <w:r>
        <w:rPr>
          <w:rFonts w:hint="eastAsia" w:ascii="宋体" w:hAnsi="宋体" w:eastAsia="宋体" w:cs="宋体"/>
          <w:color w:val="auto"/>
          <w:spacing w:val="-10"/>
          <w:sz w:val="24"/>
          <w:szCs w:val="24"/>
          <w:highlight w:val="none"/>
        </w:rPr>
        <w:t>技术要求</w:t>
      </w:r>
    </w:p>
    <w:p w14:paraId="37179E2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服务方式：针对行动不便的残疾人，可根据需要采取入户的方式进行签约，具体工作流程如下：</w:t>
      </w:r>
    </w:p>
    <w:p w14:paraId="35F66D4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1．实施筛查评估。参照手机APP中各类残疾精准康复签约服务筛查表，对辖区内所有残疾残疾人进行筛查评估，并对他们的康复需求进行初步评估。</w:t>
      </w:r>
    </w:p>
    <w:p w14:paraId="5852657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2．签订服务协议。根据筛查评估阶段统计的残疾人基本信息和康复需求，与残疾人签订各类服务协议。</w:t>
      </w:r>
    </w:p>
    <w:p w14:paraId="7BC7716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３．建立两种档案。为签约的残疾人建立相关档案。</w:t>
      </w:r>
    </w:p>
    <w:p w14:paraId="7BAF312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４．提供服务。根据签约内容为残疾人提供相应的服务，并使用手机APP对基本康复服务实施情况进行登记。</w:t>
      </w:r>
    </w:p>
    <w:p w14:paraId="791FBB4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动态信息管理。将筛查结果中初步确认的0－6岁残疾儿童、有辅具需求的、精神病服药需求的、白内障手术需求的、肢体矫治手术需求的、人工耳蜗植入术需求的残疾人分类统计，分别上报县残联和县卫计局。同时，残联要协调有关部门及时将各类残疾人精准康复基本信息及提供的康复服务信息录入陕西省残疾人精准康复服务管理系统。</w:t>
      </w:r>
    </w:p>
    <w:p w14:paraId="6F7C095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2.5补助标准：</w:t>
      </w:r>
    </w:p>
    <w:p w14:paraId="3A2CE4A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（一）一般残疾人服务要求（</w:t>
      </w:r>
      <w:r>
        <w:rPr>
          <w:rFonts w:hint="eastAsia" w:ascii="宋体" w:hAnsi="宋体" w:cs="宋体"/>
          <w:color w:val="auto"/>
          <w:sz w:val="24"/>
          <w:szCs w:val="24"/>
          <w:highlight w:val="none"/>
          <w:lang w:val="en-US" w:eastAsia="zh-CN"/>
        </w:rPr>
        <w:t>50</w:t>
      </w:r>
      <w:r>
        <w:rPr>
          <w:rFonts w:hint="eastAsia" w:ascii="宋体" w:hAnsi="宋体" w:eastAsia="宋体" w:cs="宋体"/>
          <w:color w:val="auto"/>
          <w:sz w:val="24"/>
          <w:szCs w:val="24"/>
          <w:highlight w:val="none"/>
          <w:lang w:val="en-US" w:eastAsia="zh-CN"/>
        </w:rPr>
        <w:t>元/人/年</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一年不少于三次。）</w:t>
      </w:r>
    </w:p>
    <w:p w14:paraId="23C1810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注：1、基础服务包：含视力、听力、智力、精神、肢体、多重（1-4级）</w:t>
      </w:r>
    </w:p>
    <w:p w14:paraId="2AF41F9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2、含筛查评估费用，集中、远程、入户都可。</w:t>
      </w:r>
    </w:p>
    <w:p w14:paraId="2A1DD54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(二）三瘫一截服务包（</w:t>
      </w:r>
      <w:r>
        <w:rPr>
          <w:rFonts w:hint="eastAsia" w:ascii="宋体" w:hAnsi="宋体" w:cs="宋体"/>
          <w:color w:val="auto"/>
          <w:sz w:val="24"/>
          <w:szCs w:val="24"/>
          <w:highlight w:val="none"/>
          <w:lang w:val="en-US" w:eastAsia="zh-CN"/>
        </w:rPr>
        <w:t>80</w:t>
      </w:r>
      <w:r>
        <w:rPr>
          <w:rFonts w:hint="eastAsia" w:ascii="宋体" w:hAnsi="宋体" w:eastAsia="宋体" w:cs="宋体"/>
          <w:color w:val="auto"/>
          <w:sz w:val="24"/>
          <w:szCs w:val="24"/>
          <w:highlight w:val="none"/>
          <w:lang w:val="en-US" w:eastAsia="zh-CN"/>
        </w:rPr>
        <w:t>元/人/次，服务次数：一年不少于三次。）</w:t>
      </w:r>
    </w:p>
    <w:p w14:paraId="7F80FCF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注：1、三瘫一截类：以重度肢体残疾为主的多重残疾人（1-2级）含筛查评估费用，入户服务费用。</w:t>
      </w:r>
    </w:p>
    <w:p w14:paraId="35FDE13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采购的残疾人家庭医生签约服务机构，须接受采购人的业务管理，考评，监督，并由长安区残疾人联合会依据国家确定费用标准及考核办法进行考核。</w:t>
      </w:r>
    </w:p>
    <w:p w14:paraId="7AD99DD9">
      <w:pPr>
        <w:pStyle w:val="3"/>
        <w:ind w:firstLine="720" w:firstLineChars="300"/>
        <w:rPr>
          <w:rFonts w:hint="eastAsia" w:ascii="宋体" w:hAnsi="宋体" w:eastAsia="宋体" w:cs="宋体"/>
          <w:b w:val="0"/>
          <w:bCs w:val="0"/>
          <w:snapToGrid w:val="0"/>
          <w:color w:val="auto"/>
          <w:kern w:val="0"/>
          <w:sz w:val="24"/>
          <w:szCs w:val="24"/>
          <w:highlight w:val="none"/>
          <w:lang w:val="en-US" w:eastAsia="zh-CN"/>
        </w:rPr>
      </w:pPr>
      <w:r>
        <w:rPr>
          <w:rFonts w:hint="eastAsia" w:ascii="宋体" w:hAnsi="宋体" w:eastAsia="宋体" w:cs="宋体"/>
          <w:b w:val="0"/>
          <w:bCs w:val="0"/>
          <w:snapToGrid w:val="0"/>
          <w:color w:val="auto"/>
          <w:kern w:val="0"/>
          <w:sz w:val="24"/>
          <w:szCs w:val="24"/>
          <w:highlight w:val="none"/>
          <w:lang w:val="en-US" w:eastAsia="zh-CN"/>
        </w:rPr>
        <w:t>注：补助标准根据供应商下浮进行相应计算。</w:t>
      </w:r>
    </w:p>
    <w:p w14:paraId="7920066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2.6商务</w:t>
      </w:r>
      <w:r>
        <w:rPr>
          <w:rFonts w:hint="eastAsia" w:ascii="宋体" w:hAnsi="宋体" w:eastAsia="宋体" w:cs="宋体"/>
          <w:color w:val="auto"/>
          <w:spacing w:val="-10"/>
          <w:sz w:val="24"/>
          <w:szCs w:val="24"/>
          <w:highlight w:val="none"/>
          <w:lang w:val="en-US" w:eastAsia="en-US"/>
        </w:rPr>
        <w:t xml:space="preserve">要求 </w:t>
      </w:r>
      <w:r>
        <w:rPr>
          <w:rFonts w:hint="eastAsia" w:ascii="宋体" w:hAnsi="宋体" w:eastAsia="宋体" w:cs="宋体"/>
          <w:color w:val="auto"/>
          <w:spacing w:val="-10"/>
          <w:sz w:val="24"/>
          <w:szCs w:val="24"/>
          <w:highlight w:val="none"/>
          <w:lang w:val="en-US" w:eastAsia="zh-CN"/>
        </w:rPr>
        <w:t>：</w:t>
      </w:r>
    </w:p>
    <w:p w14:paraId="48985C2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2.6.1、服务期限：一年（以甲乙双方签订的合同为准）。</w:t>
      </w:r>
    </w:p>
    <w:p w14:paraId="5CA98B8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2.6.2、本标段服务人数约</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人，肢体残疾一、二级人数约</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人。服务地点函盖镇街：</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p>
    <w:p w14:paraId="152E54B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2.6.3、验收标准：由采购人对项目进行整体验收，供应商协助配合。</w:t>
      </w:r>
    </w:p>
    <w:p w14:paraId="4025754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 项目服务单价</w:t>
      </w:r>
    </w:p>
    <w:p w14:paraId="3A18EE1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本协议书中的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项目服务合同价为</w:t>
      </w:r>
      <w:r>
        <w:rPr>
          <w:rFonts w:hint="eastAsia" w:ascii="宋体" w:hAnsi="宋体" w:eastAsia="宋体" w:cs="宋体"/>
          <w:color w:val="auto"/>
          <w:sz w:val="24"/>
          <w:szCs w:val="24"/>
          <w:highlight w:val="none"/>
          <w:u w:val="single"/>
          <w:lang w:val="en-US" w:eastAsia="zh-CN"/>
        </w:rPr>
        <w:t xml:space="preserve">     元</w:t>
      </w:r>
      <w:r>
        <w:rPr>
          <w:rFonts w:hint="eastAsia" w:ascii="宋体" w:hAnsi="宋体" w:eastAsia="宋体" w:cs="宋体"/>
          <w:color w:val="auto"/>
          <w:sz w:val="24"/>
          <w:szCs w:val="24"/>
          <w:highlight w:val="none"/>
          <w:lang w:val="en-US" w:eastAsia="zh-CN"/>
        </w:rPr>
        <w:t>，大写金额为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整。</w:t>
      </w:r>
    </w:p>
    <w:p w14:paraId="0785A5D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 协议术语定义</w:t>
      </w:r>
    </w:p>
    <w:p w14:paraId="00A88AE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除非另有特别的解释或说明，在本协议中及与协议相关的，甲乙双方另行签署的其他文件(包括但不限于本协议的附件)中，下述词语均按照如下定义进行解释：</w:t>
      </w:r>
    </w:p>
    <w:p w14:paraId="1F66A8B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4.1  “甲方”系指项目采购方；</w:t>
      </w:r>
    </w:p>
    <w:p w14:paraId="3CD725B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4.2  “乙方”系指为承接甲方服务项目的社会服务机构，即项目承接方；</w:t>
      </w:r>
    </w:p>
    <w:p w14:paraId="5A1633E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4.3  “协议文件”系指甲乙双方签署的，协议中载明的甲乙双方达成的全部约定，包括协议的所有附件、附录和构成协议的所有文件；</w:t>
      </w:r>
    </w:p>
    <w:p w14:paraId="7CD53AC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4.4  “服务”系指乙方根据协议文件规定须向甲方提供的全部助残服务；</w:t>
      </w:r>
    </w:p>
    <w:p w14:paraId="6C12059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4.5  “项目指标”是指包括服务人数、服务次数、受益人次等在内的所有可量化的项目服务类指标。</w:t>
      </w:r>
    </w:p>
    <w:p w14:paraId="1DCEF55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default"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5. 项目实施期限：</w:t>
      </w:r>
      <w:r>
        <w:rPr>
          <w:rFonts w:hint="eastAsia" w:ascii="宋体" w:hAnsi="宋体" w:eastAsia="宋体" w:cs="宋体"/>
          <w:color w:val="auto"/>
          <w:sz w:val="24"/>
          <w:szCs w:val="24"/>
          <w:highlight w:val="none"/>
          <w:lang w:val="en-US" w:eastAsia="zh-CN"/>
        </w:rPr>
        <w:t>/</w:t>
      </w:r>
    </w:p>
    <w:p w14:paraId="29145DB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6. 项目服务期限：一年（以甲乙双方签订的合同为准）</w:t>
      </w:r>
      <w:r>
        <w:rPr>
          <w:rFonts w:hint="eastAsia" w:ascii="宋体" w:hAnsi="宋体" w:eastAsia="宋体" w:cs="宋体"/>
          <w:color w:val="auto"/>
          <w:sz w:val="24"/>
          <w:szCs w:val="24"/>
          <w:highlight w:val="none"/>
          <w:lang w:val="en-US" w:eastAsia="zh-CN"/>
        </w:rPr>
        <w:t>。</w:t>
      </w:r>
    </w:p>
    <w:p w14:paraId="5B85BC7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 财务管理</w:t>
      </w:r>
    </w:p>
    <w:p w14:paraId="7FFF298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7.1  项目资金必须专款专用于所承接项目。乙方不得用于实施项目以外的任何内容；</w:t>
      </w:r>
    </w:p>
    <w:p w14:paraId="6D4972F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7.2  项目税费(如有)由乙方负担；</w:t>
      </w:r>
    </w:p>
    <w:p w14:paraId="4B875644">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color w:val="auto"/>
          <w:sz w:val="24"/>
          <w:szCs w:val="24"/>
          <w:highlight w:val="none"/>
          <w:u w:val="single"/>
          <w:lang w:val="en-US" w:eastAsia="zh-CN"/>
        </w:rPr>
      </w:pPr>
      <w:r>
        <w:rPr>
          <w:rFonts w:hint="eastAsia" w:ascii="宋体" w:hAnsi="宋体" w:eastAsia="宋体" w:cs="宋体"/>
          <w:snapToGrid w:val="0"/>
          <w:color w:val="auto"/>
          <w:spacing w:val="-10"/>
          <w:kern w:val="0"/>
          <w:sz w:val="24"/>
          <w:szCs w:val="24"/>
          <w:highlight w:val="none"/>
          <w:lang w:val="en-US" w:eastAsia="zh-CN" w:bidi="ar-SA"/>
        </w:rPr>
        <w:t>7.3 项目支付方式：</w:t>
      </w:r>
      <w:r>
        <w:rPr>
          <w:rFonts w:hint="eastAsia" w:ascii="宋体" w:hAnsi="宋体" w:eastAsia="宋体" w:cs="宋体"/>
          <w:snapToGrid w:val="0"/>
          <w:color w:val="auto"/>
          <w:spacing w:val="-10"/>
          <w:kern w:val="0"/>
          <w:sz w:val="24"/>
          <w:szCs w:val="24"/>
          <w:highlight w:val="none"/>
          <w:u w:val="single"/>
          <w:lang w:val="en-US" w:eastAsia="zh-CN" w:bidi="ar-SA"/>
        </w:rPr>
        <w:t>分期支付，</w:t>
      </w:r>
      <w:r>
        <w:rPr>
          <w:rFonts w:hint="eastAsia" w:ascii="宋体" w:hAnsi="宋体" w:eastAsia="宋体" w:cs="宋体"/>
          <w:color w:val="auto"/>
          <w:sz w:val="24"/>
          <w:szCs w:val="24"/>
          <w:highlight w:val="none"/>
          <w:u w:val="single"/>
          <w:lang w:val="en-US" w:eastAsia="zh-CN"/>
        </w:rPr>
        <w:t>合同签订后，根据实际服务人数，甲方根据进度进行支付相关费用。</w:t>
      </w:r>
    </w:p>
    <w:p w14:paraId="24AEE45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注：1、本项目具体结算金额根据实际服务对象人数乘以项目服务单价。</w:t>
      </w:r>
    </w:p>
    <w:p w14:paraId="3672D1A7">
      <w:pPr>
        <w:pStyle w:val="3"/>
        <w:ind w:firstLine="960" w:firstLineChars="400"/>
        <w:rPr>
          <w:rFonts w:hint="eastAsia" w:ascii="宋体" w:hAnsi="宋体" w:eastAsia="宋体" w:cs="宋体"/>
          <w:b w:val="0"/>
          <w:bCs w:val="0"/>
          <w:snapToGrid w:val="0"/>
          <w:color w:val="auto"/>
          <w:kern w:val="0"/>
          <w:sz w:val="24"/>
          <w:szCs w:val="24"/>
          <w:highlight w:val="none"/>
          <w:u w:val="single"/>
          <w:lang w:val="en-US" w:eastAsia="zh-CN"/>
        </w:rPr>
      </w:pPr>
      <w:r>
        <w:rPr>
          <w:rFonts w:hint="eastAsia" w:ascii="宋体" w:hAnsi="宋体" w:eastAsia="宋体" w:cs="宋体"/>
          <w:b w:val="0"/>
          <w:bCs w:val="0"/>
          <w:snapToGrid w:val="0"/>
          <w:color w:val="auto"/>
          <w:kern w:val="0"/>
          <w:sz w:val="24"/>
          <w:szCs w:val="24"/>
          <w:highlight w:val="none"/>
          <w:u w:val="single"/>
          <w:lang w:val="en-US" w:eastAsia="zh-CN"/>
        </w:rPr>
        <w:t>2、付款条件说明：具体以实际人数及具体次数结算，达到付款条件起15日内支付。</w:t>
      </w:r>
    </w:p>
    <w:p w14:paraId="776555D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w:t>
      </w:r>
      <w:r>
        <w:rPr>
          <w:rFonts w:hint="eastAsia" w:ascii="宋体" w:hAnsi="宋体" w:eastAsia="宋体" w:cs="宋体"/>
          <w:snapToGrid w:val="0"/>
          <w:color w:val="auto"/>
          <w:spacing w:val="-10"/>
          <w:kern w:val="0"/>
          <w:sz w:val="24"/>
          <w:szCs w:val="24"/>
          <w:highlight w:val="none"/>
          <w:lang w:val="en-US" w:eastAsia="zh-CN" w:bidi="ar-SA"/>
        </w:rPr>
        <w:t>1</w:t>
      </w:r>
      <w:r>
        <w:rPr>
          <w:rFonts w:hint="eastAsia" w:ascii="宋体" w:hAnsi="宋体" w:eastAsia="宋体" w:cs="宋体"/>
          <w:snapToGrid w:val="0"/>
          <w:color w:val="auto"/>
          <w:spacing w:val="-10"/>
          <w:kern w:val="0"/>
          <w:sz w:val="24"/>
          <w:szCs w:val="24"/>
          <w:highlight w:val="none"/>
          <w:lang w:val="en-US" w:eastAsia="en-US" w:bidi="ar-SA"/>
        </w:rPr>
        <w:t xml:space="preserve">)付款账户：乙方开户银行名称、户名和账号为： </w:t>
      </w:r>
    </w:p>
    <w:p w14:paraId="24E163D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u w:val="singl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账户名称：</w:t>
      </w:r>
      <w:r>
        <w:rPr>
          <w:rFonts w:hint="eastAsia" w:ascii="宋体" w:hAnsi="宋体" w:eastAsia="宋体" w:cs="宋体"/>
          <w:snapToGrid w:val="0"/>
          <w:color w:val="auto"/>
          <w:spacing w:val="-10"/>
          <w:kern w:val="0"/>
          <w:sz w:val="24"/>
          <w:szCs w:val="24"/>
          <w:highlight w:val="none"/>
          <w:u w:val="single"/>
          <w:lang w:val="en-US" w:eastAsia="en-US" w:bidi="ar-SA"/>
        </w:rPr>
        <w:t xml:space="preserve">                           </w:t>
      </w:r>
    </w:p>
    <w:p w14:paraId="7A46823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u w:val="singl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开户银行：</w:t>
      </w:r>
      <w:r>
        <w:rPr>
          <w:rFonts w:hint="eastAsia" w:ascii="宋体" w:hAnsi="宋体" w:eastAsia="宋体" w:cs="宋体"/>
          <w:snapToGrid w:val="0"/>
          <w:color w:val="auto"/>
          <w:spacing w:val="-10"/>
          <w:kern w:val="0"/>
          <w:sz w:val="24"/>
          <w:szCs w:val="24"/>
          <w:highlight w:val="none"/>
          <w:u w:val="single"/>
          <w:lang w:val="en-US" w:eastAsia="en-US" w:bidi="ar-SA"/>
        </w:rPr>
        <w:t xml:space="preserve">                           </w:t>
      </w:r>
    </w:p>
    <w:p w14:paraId="0FC978D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u w:val="singl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开户账号：</w:t>
      </w:r>
      <w:r>
        <w:rPr>
          <w:rFonts w:hint="eastAsia" w:ascii="宋体" w:hAnsi="宋体" w:eastAsia="宋体" w:cs="宋体"/>
          <w:snapToGrid w:val="0"/>
          <w:color w:val="auto"/>
          <w:spacing w:val="-10"/>
          <w:kern w:val="0"/>
          <w:sz w:val="24"/>
          <w:szCs w:val="24"/>
          <w:highlight w:val="none"/>
          <w:u w:val="single"/>
          <w:lang w:val="en-US" w:eastAsia="en-US" w:bidi="ar-SA"/>
        </w:rPr>
        <w:t xml:space="preserve">                           </w:t>
      </w:r>
    </w:p>
    <w:p w14:paraId="0240C8E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7</w:t>
      </w:r>
      <w:r>
        <w:rPr>
          <w:rFonts w:hint="eastAsia" w:ascii="宋体" w:hAnsi="宋体" w:eastAsia="宋体" w:cs="宋体"/>
          <w:snapToGrid w:val="0"/>
          <w:color w:val="auto"/>
          <w:spacing w:val="-10"/>
          <w:kern w:val="0"/>
          <w:sz w:val="24"/>
          <w:szCs w:val="24"/>
          <w:highlight w:val="none"/>
          <w:lang w:val="en-US" w:eastAsia="en-US" w:bidi="ar-SA"/>
        </w:rPr>
        <w:t>.4  乙方申请项目经费前，应向甲方提交项目工作(月或季)报、项目财务月报或季度报表。</w:t>
      </w:r>
    </w:p>
    <w:p w14:paraId="30C64F8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7</w:t>
      </w:r>
      <w:r>
        <w:rPr>
          <w:rFonts w:hint="eastAsia" w:ascii="宋体" w:hAnsi="宋体" w:eastAsia="宋体" w:cs="宋体"/>
          <w:snapToGrid w:val="0"/>
          <w:color w:val="auto"/>
          <w:spacing w:val="-10"/>
          <w:kern w:val="0"/>
          <w:sz w:val="24"/>
          <w:szCs w:val="24"/>
          <w:highlight w:val="none"/>
          <w:lang w:val="en-US" w:eastAsia="en-US" w:bidi="ar-SA"/>
        </w:rPr>
        <w:t>.5  乙方应在甲方支付项目款前</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个工作日内向甲方提供正规发票；</w:t>
      </w:r>
    </w:p>
    <w:p w14:paraId="2DBA8FB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7</w:t>
      </w:r>
      <w:r>
        <w:rPr>
          <w:rFonts w:hint="eastAsia" w:ascii="宋体" w:hAnsi="宋体" w:eastAsia="宋体" w:cs="宋体"/>
          <w:snapToGrid w:val="0"/>
          <w:color w:val="auto"/>
          <w:spacing w:val="-10"/>
          <w:kern w:val="0"/>
          <w:sz w:val="24"/>
          <w:szCs w:val="24"/>
          <w:highlight w:val="none"/>
          <w:lang w:val="en-US" w:eastAsia="en-US" w:bidi="ar-SA"/>
        </w:rPr>
        <w:t>.6  甲方和乙方因本协议发生的一切费用均以人民币结算及支付。</w:t>
      </w:r>
    </w:p>
    <w:p w14:paraId="2E5A4D2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8</w:t>
      </w:r>
      <w:r>
        <w:rPr>
          <w:rFonts w:hint="eastAsia" w:ascii="宋体" w:hAnsi="宋体" w:eastAsia="宋体" w:cs="宋体"/>
          <w:snapToGrid w:val="0"/>
          <w:color w:val="auto"/>
          <w:spacing w:val="-10"/>
          <w:kern w:val="0"/>
          <w:sz w:val="24"/>
          <w:szCs w:val="24"/>
          <w:highlight w:val="none"/>
          <w:lang w:val="en-US" w:eastAsia="en-US" w:bidi="ar-SA"/>
        </w:rPr>
        <w:t>. 特别承诺</w:t>
      </w:r>
    </w:p>
    <w:p w14:paraId="2F72C88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乙方应保证无任何第三方就乙方向甲方提供的服务主张任何权利。如果任何第三 方就乙方向甲方提供的服务主张任何权利，乙方须与第三方交涉并承担由此而产生的一切法律责任和费用，并赔偿因此给甲方造成的一切损失，以及甲方为反驳第三方的主张、向乙方主张权利所支付的各项费用，包括但不限于调查费、律师费、诉讼费等。</w:t>
      </w:r>
    </w:p>
    <w:p w14:paraId="22DA2D5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 服务延期与协议变更</w:t>
      </w:r>
    </w:p>
    <w:p w14:paraId="5AF1E53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9.1  乙方应按照协议规定的时间、地点、服务内容、项目指标完成项目全部服务内容；</w:t>
      </w:r>
    </w:p>
    <w:p w14:paraId="151586B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9.2  在履行协议过程中，如乙方遇到不能按时提供项目服务的事由，应及时以书面形式向甲方提出申请，说明具体变更理由及延长期限方案。甲方在收到乙方申请后</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可以酌情进行协议变更。</w:t>
      </w:r>
    </w:p>
    <w:p w14:paraId="00103AC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9.3  项目服务期内，经甲方同意，双方可就以下项目内容进行变更：</w:t>
      </w:r>
    </w:p>
    <w:p w14:paraId="601B5D2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(1)服务人数、服务次数；</w:t>
      </w:r>
    </w:p>
    <w:p w14:paraId="182FC2D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(2)项目经费；</w:t>
      </w:r>
    </w:p>
    <w:p w14:paraId="5E5260C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(3)项目进度；</w:t>
      </w:r>
    </w:p>
    <w:p w14:paraId="07219EE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(4)终止期限。</w:t>
      </w:r>
    </w:p>
    <w:p w14:paraId="764E60B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9.4  上述变更不得改变项目性质、服务内容和服务方式。其中服务人次的调整不得超过原项目指标的10%;</w:t>
      </w:r>
    </w:p>
    <w:p w14:paraId="50E46C9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9.5  以上延期与变更，须经甲乙双方书面协议并告知项目评估第三方后生效。</w:t>
      </w:r>
    </w:p>
    <w:p w14:paraId="1D533B5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10. 协议无过错解除或提前终止</w:t>
      </w:r>
    </w:p>
    <w:p w14:paraId="705A915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10.1  经甲方核实有下列情形之一的，本协议解除；</w:t>
      </w:r>
    </w:p>
    <w:p w14:paraId="1A9D8F1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(1)因第三方原因造成本协议无法履行的；</w:t>
      </w:r>
    </w:p>
    <w:p w14:paraId="1848DB4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(2)发生任一不可抗力事项的。</w:t>
      </w:r>
    </w:p>
    <w:p w14:paraId="1546217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color w:val="auto"/>
          <w:highlight w:val="none"/>
        </w:rPr>
      </w:pPr>
      <w:r>
        <w:rPr>
          <w:rFonts w:hint="eastAsia" w:ascii="宋体" w:hAnsi="宋体" w:eastAsia="宋体" w:cs="宋体"/>
          <w:snapToGrid w:val="0"/>
          <w:color w:val="auto"/>
          <w:spacing w:val="-10"/>
          <w:kern w:val="0"/>
          <w:sz w:val="24"/>
          <w:szCs w:val="24"/>
          <w:highlight w:val="none"/>
          <w:lang w:val="en-US" w:eastAsia="en-US" w:bidi="ar-SA"/>
        </w:rPr>
        <w:t>10.2   乙方因自身原因申请注销登记或者被撤销登记的，本协议提前终止。</w:t>
      </w:r>
    </w:p>
    <w:p w14:paraId="3CFD894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10.3  以上原因造成本协议的解除或终止，需乙方及时书面说明，自甲方发出书 面通知到达乙方时生效。</w:t>
      </w:r>
    </w:p>
    <w:p w14:paraId="2EC4FB5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10.4  本协议解除或提前终止后，根据协议履行情况，甲方有权要求乙方采取补救措施，进行第三方评估，并适当支付已履行部分项目经费。</w:t>
      </w:r>
    </w:p>
    <w:p w14:paraId="1583128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11. 协议解除或提前终止后的自救措施</w:t>
      </w:r>
    </w:p>
    <w:p w14:paraId="497E3AB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本协议解除或终止后，甲方有权选择其他有能力的项目承接方重新作为协议乙方，另行签订协议书，提供同类或类似服务。                                 </w:t>
      </w:r>
    </w:p>
    <w:p w14:paraId="6858AFE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12. 不可抗力                                                           </w:t>
      </w:r>
    </w:p>
    <w:p w14:paraId="1768146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12.1  本协议所称不可抗力是指不能预见、不能避免并不能克服的客观情况，包括但不限于战争、严重火灾、水灾、台风和地震以及其他双方书面同意属于不可抗力的事故；因为不可抗力导致本协议部分或全部不能履行的，可以部分或全部解除本协议，或者根据不可抗力的影响，甲乙双方协商确定适当延长履行期限，或采取双方商定的其他补救措施；                                                  </w:t>
      </w:r>
    </w:p>
    <w:p w14:paraId="52978DB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12.2  受不可抗力的影响而不能履行的一方应在不可抗力发生后第一时间以书面形式通知另一方，并在不可抗力结束后十个工作日，将有关部门出具的证明义件送达给另一方；</w:t>
      </w:r>
    </w:p>
    <w:p w14:paraId="3428A6E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12.3  因为不可抗力不能履行本协议的，根据不可抗力的影响，可以部分或全部免除履约方的责任，法律另有规定的除外。 一方迟延履行后发生不可抗力的，不能</w:t>
      </w:r>
      <w:r>
        <w:rPr>
          <w:rFonts w:hint="eastAsia" w:ascii="宋体" w:hAnsi="宋体" w:eastAsia="宋体" w:cs="宋体"/>
          <w:snapToGrid w:val="0"/>
          <w:color w:val="auto"/>
          <w:spacing w:val="-10"/>
          <w:kern w:val="0"/>
          <w:sz w:val="24"/>
          <w:szCs w:val="24"/>
          <w:highlight w:val="none"/>
          <w:lang w:val="en-US" w:eastAsia="zh-CN" w:bidi="ar-SA"/>
        </w:rPr>
        <w:t>免</w:t>
      </w:r>
      <w:r>
        <w:rPr>
          <w:rFonts w:hint="eastAsia" w:ascii="宋体" w:hAnsi="宋体" w:eastAsia="宋体" w:cs="宋体"/>
          <w:snapToGrid w:val="0"/>
          <w:color w:val="auto"/>
          <w:spacing w:val="-10"/>
          <w:kern w:val="0"/>
          <w:sz w:val="24"/>
          <w:szCs w:val="24"/>
          <w:highlight w:val="none"/>
          <w:lang w:val="en-US" w:eastAsia="en-US" w:bidi="ar-SA"/>
        </w:rPr>
        <w:t xml:space="preserve">除责任。                                                        </w:t>
      </w:r>
    </w:p>
    <w:p w14:paraId="4C96D14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13. 通知</w:t>
      </w:r>
    </w:p>
    <w:p w14:paraId="697EB09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 13.1</w:t>
      </w:r>
      <w:r>
        <w:rPr>
          <w:rFonts w:hint="eastAsia" w:ascii="宋体" w:hAnsi="宋体" w:eastAsia="宋体" w:cs="宋体"/>
          <w:snapToGrid w:val="0"/>
          <w:color w:val="auto"/>
          <w:spacing w:val="-10"/>
          <w:kern w:val="0"/>
          <w:sz w:val="24"/>
          <w:szCs w:val="24"/>
          <w:highlight w:val="none"/>
          <w:lang w:val="en-US" w:eastAsia="zh-CN" w:bidi="ar-SA"/>
        </w:rPr>
        <w:t>本协议任何一方给另一方的通知、回复、确认等，都应以书面的形式通过</w:t>
      </w:r>
      <w:r>
        <w:rPr>
          <w:rFonts w:hint="eastAsia" w:ascii="宋体" w:hAnsi="宋体" w:eastAsia="宋体" w:cs="宋体"/>
          <w:snapToGrid w:val="0"/>
          <w:color w:val="auto"/>
          <w:spacing w:val="-10"/>
          <w:kern w:val="0"/>
          <w:sz w:val="24"/>
          <w:szCs w:val="24"/>
          <w:highlight w:val="none"/>
          <w:lang w:val="en-US" w:eastAsia="en-US" w:bidi="ar-SA"/>
        </w:rPr>
        <w:t>专人送递、传真、电子邮件或特快专递方式送达，双方的收件地址和收件人以本协议文件中所载明的相关信息为准。如果持特快专递送达通知、回复、确认等；收件日期即为送达日期；</w:t>
      </w:r>
    </w:p>
    <w:p w14:paraId="7A325FD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13.2  如果一方的收件地址、收件人等通讯信息发生变更，应在变更发生后</w:t>
      </w:r>
      <w:r>
        <w:rPr>
          <w:rFonts w:hint="eastAsia" w:ascii="宋体" w:hAnsi="宋体" w:eastAsia="宋体" w:cs="宋体"/>
          <w:snapToGrid w:val="0"/>
          <w:color w:val="auto"/>
          <w:spacing w:val="-10"/>
          <w:kern w:val="0"/>
          <w:sz w:val="24"/>
          <w:szCs w:val="24"/>
          <w:highlight w:val="none"/>
          <w:lang w:val="en-US" w:eastAsia="zh-CN" w:bidi="ar-SA"/>
        </w:rPr>
        <w:t>2个</w:t>
      </w:r>
      <w:r>
        <w:rPr>
          <w:rFonts w:hint="eastAsia" w:ascii="宋体" w:hAnsi="宋体" w:eastAsia="宋体" w:cs="宋体"/>
          <w:snapToGrid w:val="0"/>
          <w:color w:val="auto"/>
          <w:spacing w:val="-10"/>
          <w:kern w:val="0"/>
          <w:sz w:val="24"/>
          <w:szCs w:val="24"/>
          <w:highlight w:val="none"/>
          <w:lang w:val="en-US" w:eastAsia="en-US" w:bidi="ar-SA"/>
        </w:rPr>
        <w:t xml:space="preserve">工作日内书面通知对方。通讯信息发生变更的一方不履行或不及时履行通知义务的自行承担由此引发的一切法律后果。                              </w:t>
      </w:r>
    </w:p>
    <w:p w14:paraId="70DA2D3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default"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14  违约情形</w:t>
      </w:r>
    </w:p>
    <w:p w14:paraId="1B0CAAB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14.1  因乙方自身原因不能履行本协议的；</w:t>
      </w:r>
    </w:p>
    <w:p w14:paraId="1529BD7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14.2  未按照项目预算要求使用项目经费的；</w:t>
      </w:r>
    </w:p>
    <w:p w14:paraId="7161F14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14.3  未按照本协议文件要求及时进行档案管理的；</w:t>
      </w:r>
    </w:p>
    <w:p w14:paraId="7E5F518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14.4  乙方非因不可抗力擅自拖延项目期限的；</w:t>
      </w:r>
    </w:p>
    <w:p w14:paraId="15D9304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14.5  乙方擅自变更服务内容、降低服务质量、减少服务数量的；</w:t>
      </w:r>
    </w:p>
    <w:p w14:paraId="69699AC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14.6  未按照本协议要求，公开透明公示项目执行情况的；</w:t>
      </w:r>
    </w:p>
    <w:p w14:paraId="46D752C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14.7  项目进度严重滞后，中期评估未完成项目既定指标</w:t>
      </w:r>
      <w:r>
        <w:rPr>
          <w:rFonts w:hint="eastAsia" w:ascii="宋体" w:hAnsi="宋体" w:eastAsia="宋体" w:cs="宋体"/>
          <w:snapToGrid w:val="0"/>
          <w:color w:val="auto"/>
          <w:spacing w:val="-10"/>
          <w:kern w:val="0"/>
          <w:sz w:val="24"/>
          <w:szCs w:val="24"/>
          <w:highlight w:val="none"/>
          <w:u w:val="single"/>
          <w:lang w:val="en-US" w:eastAsia="zh-CN" w:bidi="ar-SA"/>
        </w:rPr>
        <w:t xml:space="preserve">          </w:t>
      </w:r>
      <w:r>
        <w:rPr>
          <w:rFonts w:hint="eastAsia" w:ascii="宋体" w:hAnsi="宋体" w:eastAsia="宋体" w:cs="宋体"/>
          <w:snapToGrid w:val="0"/>
          <w:color w:val="auto"/>
          <w:spacing w:val="-10"/>
          <w:kern w:val="0"/>
          <w:sz w:val="24"/>
          <w:szCs w:val="24"/>
          <w:highlight w:val="none"/>
          <w:lang w:val="en-US" w:eastAsia="en-US" w:bidi="ar-SA"/>
        </w:rPr>
        <w:t>的 ；</w:t>
      </w:r>
    </w:p>
    <w:p w14:paraId="386BAEB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14.8  中期评估乙方服务质量严重不符合甲方要求的；</w:t>
      </w:r>
    </w:p>
    <w:p w14:paraId="6E4B607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14.9  乙方中期评估合格或中期后抽查合格，但是项目服务截止期项目指标未达到既定指标 </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 xml:space="preserve"> 的 ；</w:t>
      </w:r>
    </w:p>
    <w:p w14:paraId="41893BE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14.10  经第三方评估，乙方实施项目过程中存在其他违约情形的。</w:t>
      </w:r>
    </w:p>
    <w:p w14:paraId="3538343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 违纪情形</w:t>
      </w:r>
    </w:p>
    <w:p w14:paraId="4111876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以下情形之一构成乙方违纪：</w:t>
      </w:r>
    </w:p>
    <w:p w14:paraId="175E710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15.1  项目实施期间，因乙方责任发生重大安全事故的；</w:t>
      </w:r>
    </w:p>
    <w:p w14:paraId="35C57BD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15.2  项目实施期间，乙方发生侵犯服务对象合法权益事件，社会影响极其恶 劣的；</w:t>
      </w:r>
    </w:p>
    <w:p w14:paraId="73A99AA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15.3  乙方瞒报、虚报项目工作，拒不配合第三方监督评估的；</w:t>
      </w:r>
    </w:p>
    <w:p w14:paraId="5C2D8FF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15.4  乙方项目预算经费与项目决算经费相差</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以上的；</w:t>
      </w:r>
    </w:p>
    <w:p w14:paraId="10DB45A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15.5  经第三方评估，乙方实施项目过程中存在其他违纪情形的。</w:t>
      </w:r>
    </w:p>
    <w:p w14:paraId="64744AC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16. 违约违纪责任</w:t>
      </w:r>
    </w:p>
    <w:p w14:paraId="62ACEC2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16.1  乙方违约违纪的，甲方有权通知乙方即时终止项目活动，并解除本协议。 已支付中期项目经费的，予以追回；末期评估不合格的，甲方有权追回已支付的全部  项目经费，并不再支付 </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尾款；</w:t>
      </w:r>
    </w:p>
    <w:p w14:paraId="50773DB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16.2  乙方中期评估合格或中期后抽查合格，末期评估未完成项目指标的，甲方 有权不再支付余下项目经费；经查实，因乙方自身原因造成项目中期后进度严重滞后 的，乙方应按照16.1的约定承担违约责任；</w:t>
      </w:r>
    </w:p>
    <w:p w14:paraId="4D3947E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16.3  乙方项目实施过程中出现违规、违纪，项目评估不合格的，甲方有权向社 会公布，并结合项目业绩进行下年度社会组织考评工作。</w:t>
      </w:r>
    </w:p>
    <w:p w14:paraId="7A290D6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17. 处罚</w:t>
      </w:r>
    </w:p>
    <w:p w14:paraId="675A812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17.1  乙方有下列情形之一的，列入不良行为记录名单，在项目期满后</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年内禁止参加政府采购活动；有违法所得的，并处没收违法所得；情节严重的，由登 记机关予以撤销登记；构成犯罪的，依法追究刑事责任：</w:t>
      </w:r>
    </w:p>
    <w:p w14:paraId="30D0140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(1)提供虚假材料谋取中标、成交的；</w:t>
      </w:r>
    </w:p>
    <w:p w14:paraId="3910DDF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(2)采取不正当手段诋毁、排挤其他供应商的；</w:t>
      </w:r>
    </w:p>
    <w:p w14:paraId="566A349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(3)与甲方、其他供应方或者采购代理机构恶意串通的；</w:t>
      </w:r>
    </w:p>
    <w:p w14:paraId="7B1B3A8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(4)向甲方、采购代理机构行贿或者提供其他不正当利益的；</w:t>
      </w:r>
    </w:p>
    <w:p w14:paraId="4AD0604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(5)在招标采购过程中与甲方进行协商谈判的；</w:t>
      </w:r>
    </w:p>
    <w:p w14:paraId="1D6EF7B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(6)拒绝有关部门监督检查或者提供虚假情况的。</w:t>
      </w:r>
    </w:p>
    <w:p w14:paraId="7B6B85B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17.2   乙方有前款第(1)至(5)项情形之一 的，中标、成交无效。</w:t>
      </w:r>
    </w:p>
    <w:p w14:paraId="59E3C50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18. 争议的解决</w:t>
      </w:r>
    </w:p>
    <w:p w14:paraId="1348A81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甲方与乙方之间凡因本协议引起的或与本协议有关的一切争议，双方应协商解决； 协商不成的，任何一方均可向甲方住所地人民法院提出诉讼。</w:t>
      </w:r>
    </w:p>
    <w:p w14:paraId="207C83F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19. 协议文件的修改和解释</w:t>
      </w:r>
    </w:p>
    <w:p w14:paraId="2A2AB9A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19.1   对协议文件的任何变更，均须由甲方与乙方签署书面的协议修改书后方可生效；</w:t>
      </w:r>
    </w:p>
    <w:p w14:paraId="597002E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19.2   协议文件的最终解释权归甲方所有。</w:t>
      </w:r>
    </w:p>
    <w:p w14:paraId="2E4BF00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20. 生效及其他</w:t>
      </w:r>
    </w:p>
    <w:p w14:paraId="6329DC3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20.1   本协议经双方加盖公章后生效，协议执行完毕后自动终止；</w:t>
      </w:r>
    </w:p>
    <w:p w14:paraId="2C9CC10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20.2  本协议一式</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份，以</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书写，双方各执</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份 ；</w:t>
      </w:r>
    </w:p>
    <w:p w14:paraId="18A3D28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20.3   如需修改或补充本协议内容，经协商，双方应签署书面修改或补充协议， 并将其作为本协议的组成部分；</w:t>
      </w:r>
    </w:p>
    <w:p w14:paraId="01E99DC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20.4   本合同未尽事宜，参照《政府采购法》和《政府采购法实施条例》相关规定执行。</w:t>
      </w:r>
    </w:p>
    <w:p w14:paraId="1E87613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p w14:paraId="75E18BE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p w14:paraId="1B68CFC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p w14:paraId="0DDA0EF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tbl>
      <w:tblPr>
        <w:tblStyle w:val="11"/>
        <w:tblW w:w="7659" w:type="dxa"/>
        <w:tblInd w:w="35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3815"/>
        <w:gridCol w:w="3844"/>
      </w:tblGrid>
      <w:tr w14:paraId="164EBC3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53" w:hRule="atLeast"/>
        </w:trPr>
        <w:tc>
          <w:tcPr>
            <w:tcW w:w="3815" w:type="dxa"/>
            <w:vAlign w:val="top"/>
          </w:tcPr>
          <w:p w14:paraId="3AA2129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甲方：(公章)</w:t>
            </w:r>
          </w:p>
        </w:tc>
        <w:tc>
          <w:tcPr>
            <w:tcW w:w="3844" w:type="dxa"/>
            <w:vAlign w:val="top"/>
          </w:tcPr>
          <w:p w14:paraId="47C199D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乙方：(公章)</w:t>
            </w:r>
          </w:p>
        </w:tc>
      </w:tr>
      <w:tr w14:paraId="59DEA80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033" w:hRule="atLeast"/>
        </w:trPr>
        <w:tc>
          <w:tcPr>
            <w:tcW w:w="3815" w:type="dxa"/>
            <w:vAlign w:val="top"/>
          </w:tcPr>
          <w:p w14:paraId="07AE3C2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p w14:paraId="20D2B14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法定代表人或</w:t>
            </w:r>
          </w:p>
          <w:p w14:paraId="5D6D446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授权代表：(签字)</w:t>
            </w:r>
          </w:p>
        </w:tc>
        <w:tc>
          <w:tcPr>
            <w:tcW w:w="3844" w:type="dxa"/>
            <w:vAlign w:val="top"/>
          </w:tcPr>
          <w:p w14:paraId="25FD4A5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p w14:paraId="750C75C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法定代表人或</w:t>
            </w:r>
          </w:p>
          <w:p w14:paraId="1CE6012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授权代表：(签字)</w:t>
            </w:r>
          </w:p>
        </w:tc>
      </w:tr>
    </w:tbl>
    <w:p w14:paraId="6477A4E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年    月    日</w:t>
      </w:r>
      <w:r>
        <w:rPr>
          <w:rFonts w:hint="eastAsia" w:ascii="宋体" w:hAnsi="宋体" w:eastAsia="宋体" w:cs="宋体"/>
          <w:snapToGrid w:val="0"/>
          <w:color w:val="auto"/>
          <w:spacing w:val="-10"/>
          <w:kern w:val="0"/>
          <w:sz w:val="24"/>
          <w:szCs w:val="24"/>
          <w:highlight w:val="none"/>
          <w:lang w:val="en-US" w:eastAsia="zh-CN" w:bidi="ar-SA"/>
        </w:rPr>
        <w:t xml:space="preserve">                   </w:t>
      </w:r>
      <w:r>
        <w:rPr>
          <w:rFonts w:hint="eastAsia" w:ascii="宋体" w:hAnsi="宋体" w:eastAsia="宋体" w:cs="宋体"/>
          <w:snapToGrid w:val="0"/>
          <w:color w:val="auto"/>
          <w:spacing w:val="-10"/>
          <w:kern w:val="0"/>
          <w:sz w:val="24"/>
          <w:szCs w:val="24"/>
          <w:highlight w:val="none"/>
          <w:lang w:val="en-US" w:eastAsia="en-US" w:bidi="ar-SA"/>
        </w:rPr>
        <w:t>年    月    日</w:t>
      </w:r>
    </w:p>
    <w:bookmarkEnd w:id="2"/>
    <w:p w14:paraId="29ECF77D">
      <w:pPr>
        <w:spacing w:line="500" w:lineRule="exact"/>
        <w:ind w:firstLine="480" w:firstLineChars="200"/>
        <w:jc w:val="left"/>
        <w:rPr>
          <w:rFonts w:hAnsi="宋体" w:cs="宋体"/>
          <w:szCs w:val="24"/>
        </w:rPr>
      </w:pPr>
    </w:p>
    <w:p w14:paraId="4B0A6B4E">
      <w:pPr>
        <w:spacing w:line="360" w:lineRule="auto"/>
        <w:jc w:val="left"/>
        <w:rPr>
          <w:rFonts w:hAnsi="宋体" w:cs="宋体"/>
          <w:szCs w:val="24"/>
        </w:rPr>
      </w:pPr>
    </w:p>
    <w:p w14:paraId="77536EF8">
      <w:pPr>
        <w:spacing w:line="360" w:lineRule="auto"/>
        <w:jc w:val="left"/>
        <w:rPr>
          <w:rFonts w:hAnsi="宋体" w:cs="宋体"/>
          <w:szCs w:val="24"/>
        </w:rPr>
      </w:pPr>
    </w:p>
    <w:p w14:paraId="23341FE1">
      <w:pPr>
        <w:spacing w:line="360" w:lineRule="auto"/>
        <w:ind w:firstLine="482" w:firstLineChars="200"/>
        <w:rPr>
          <w:rFonts w:asciiTheme="minorHAnsi" w:hAnsiTheme="minorHAnsi"/>
        </w:rPr>
      </w:pPr>
      <w:r>
        <w:rPr>
          <w:rFonts w:hint="eastAsia" w:hAnsi="宋体" w:cs="宋体"/>
          <w:b/>
          <w:szCs w:val="24"/>
        </w:rPr>
        <w:t>注：以上合同格式仅供参考，相关条款在甲乙双方签订合同时另行商定。</w:t>
      </w:r>
    </w:p>
    <w:p w14:paraId="00069B16">
      <w:pPr>
        <w:rPr>
          <w:rFonts w:ascii="宋体" w:hAnsi="宋体"/>
          <w:b/>
          <w:color w:val="000000" w:themeColor="text1"/>
          <w:sz w:val="44"/>
          <w:szCs w:val="44"/>
          <w14:textFill>
            <w14:solidFill>
              <w14:schemeClr w14:val="tx1"/>
            </w14:solidFill>
          </w14:textFill>
        </w:rPr>
      </w:pPr>
    </w:p>
    <w:p w14:paraId="10F5EFA0">
      <w:pPr>
        <w:pStyle w:val="8"/>
        <w:spacing w:after="120"/>
        <w:ind w:firstLine="480"/>
      </w:pPr>
    </w:p>
    <w:p w14:paraId="72A0B22D">
      <w:pPr>
        <w:widowControl/>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CECA16"/>
    <w:multiLevelType w:val="singleLevel"/>
    <w:tmpl w:val="A8CECA16"/>
    <w:lvl w:ilvl="0" w:tentative="0">
      <w:start w:val="1"/>
      <w:numFmt w:val="decimal"/>
      <w:pStyle w:val="7"/>
      <w:lvlText w:val="%1."/>
      <w:lvlJc w:val="left"/>
      <w:pPr>
        <w:tabs>
          <w:tab w:val="left" w:pos="2040"/>
        </w:tabs>
        <w:ind w:left="20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D9405E"/>
    <w:rsid w:val="0A0F40F7"/>
    <w:rsid w:val="4DD940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Arial" w:hAnsi="Arial" w:eastAsia="Arial" w:cs="Arial"/>
      <w:b/>
      <w:snapToGrid w:val="0"/>
      <w:color w:val="000000"/>
      <w:kern w:val="44"/>
      <w:sz w:val="32"/>
      <w:szCs w:val="21"/>
      <w:lang w:eastAsia="en-US"/>
    </w:rPr>
  </w:style>
  <w:style w:type="paragraph" w:styleId="3">
    <w:name w:val="heading 2"/>
    <w:basedOn w:val="1"/>
    <w:next w:val="1"/>
    <w:unhideWhenUsed/>
    <w:qFormat/>
    <w:uiPriority w:val="9"/>
    <w:pPr>
      <w:keepNext/>
      <w:keepLines/>
      <w:spacing w:before="260" w:after="260" w:line="416" w:lineRule="auto"/>
      <w:ind w:firstLine="200" w:firstLineChars="200"/>
      <w:jc w:val="left"/>
      <w:outlineLvl w:val="1"/>
    </w:pPr>
    <w:rPr>
      <w:rFonts w:asciiTheme="majorHAnsi" w:hAnsiTheme="majorHAnsi" w:eastAsiaTheme="majorEastAsia" w:cstheme="majorBidi"/>
      <w:b/>
      <w:bCs/>
      <w:sz w:val="32"/>
      <w:szCs w:val="32"/>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4">
    <w:name w:val="Body Text"/>
    <w:basedOn w:val="1"/>
    <w:qFormat/>
    <w:uiPriority w:val="0"/>
    <w:pPr>
      <w:spacing w:after="120"/>
    </w:pPr>
  </w:style>
  <w:style w:type="paragraph" w:styleId="5">
    <w:name w:val="Body Text Indent"/>
    <w:basedOn w:val="1"/>
    <w:next w:val="1"/>
    <w:qFormat/>
    <w:uiPriority w:val="99"/>
    <w:pPr>
      <w:spacing w:afterLines="50" w:line="360" w:lineRule="exact"/>
      <w:ind w:firstLine="480" w:firstLineChars="200"/>
    </w:pPr>
    <w:rPr>
      <w:rFonts w:ascii="宋体" w:hAnsi="宋体"/>
      <w:szCs w:val="24"/>
    </w:rPr>
  </w:style>
  <w:style w:type="paragraph" w:styleId="6">
    <w:name w:val="Plain Text"/>
    <w:basedOn w:val="1"/>
    <w:next w:val="7"/>
    <w:qFormat/>
    <w:uiPriority w:val="99"/>
    <w:rPr>
      <w:rFonts w:ascii="宋体" w:hAnsi="Courier New"/>
      <w:sz w:val="21"/>
      <w:szCs w:val="21"/>
    </w:rPr>
  </w:style>
  <w:style w:type="paragraph" w:styleId="7">
    <w:name w:val="List Number 5"/>
    <w:basedOn w:val="1"/>
    <w:uiPriority w:val="0"/>
    <w:pPr>
      <w:numPr>
        <w:ilvl w:val="0"/>
        <w:numId w:val="1"/>
      </w:numPr>
    </w:pPr>
  </w:style>
  <w:style w:type="paragraph" w:styleId="8">
    <w:name w:val="Body Text First Indent 2"/>
    <w:basedOn w:val="5"/>
    <w:next w:val="6"/>
    <w:qFormat/>
    <w:uiPriority w:val="0"/>
    <w:pPr>
      <w:ind w:firstLine="420"/>
    </w:p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2025-06-10T13:24:00Z</dcterms:created>
  <dc:creator>   W。追梦人</dc:creator>
  <cp:lastModifiedBy>   W。追梦人</cp:lastModifiedBy>
  <dcterms:modified xsi:type="dcterms:W3CDTF">2025-06-10T13:25:02Z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CA0DF073065E4B08BAEF141190E3C96F_11</vt:lpwstr>
  </property>
  <property fmtid="{D5CDD505-2E9C-101B-9397-08002B2CF9AE}" pid="4" name="KSOTemplateDocerSaveRecord">
    <vt:lpwstr>eyJoZGlkIjoiYzUyMDM2YzAzNmJhYzNiMGU3NzJhNGE1MTdmNjk2OWYiLCJ1c2VySWQiOiIyMzE2NTY3MjAifQ==</vt:lpwstr>
  </property>
</Properties>
</file>