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版本号：SZT2025-SN-QC-ZC-FW-015620250612001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简王井片区QJ-09规划用地实施详细规划编制项目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SZT2025-SN-QC-ZC-FW-0156</w:t>
      </w:r>
      <w:r>
        <w:br/>
      </w:r>
      <w:r>
        <w:br/>
      </w:r>
      <w:r>
        <w:br/>
      </w:r>
    </w:p>
    <w:p>
      <w:pPr>
        <w:pStyle w:val="null3"/>
        <w:jc w:val="center"/>
        <w:outlineLvl w:val="2"/>
      </w:pPr>
      <w:r>
        <w:rPr>
          <w:rFonts w:ascii="仿宋_GB2312" w:hAnsi="仿宋_GB2312" w:cs="仿宋_GB2312" w:eastAsia="仿宋_GB2312"/>
          <w:sz w:val="28"/>
          <w:b/>
        </w:rPr>
        <w:t>西安市自然资源和规划局长安分局土地储备中心</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西安市自然资源和规划局长安分局土地储备中心</w:t>
      </w:r>
      <w:r>
        <w:rPr>
          <w:rFonts w:ascii="仿宋_GB2312" w:hAnsi="仿宋_GB2312" w:cs="仿宋_GB2312" w:eastAsia="仿宋_GB2312"/>
        </w:rPr>
        <w:t>委托，拟对</w:t>
      </w:r>
      <w:r>
        <w:rPr>
          <w:rFonts w:ascii="仿宋_GB2312" w:hAnsi="仿宋_GB2312" w:cs="仿宋_GB2312" w:eastAsia="仿宋_GB2312"/>
        </w:rPr>
        <w:t>简王井片区QJ-09规划用地实施详细规划编制项目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SZT2025-SN-QC-ZC-FW-0156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简王井片区QJ-09规划用地实施详细规划编制项目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西安市加快国土空间详细规划编制组织实施方案》（市政办发〔2024〕34号）文件要求，“聚焦近期发展需求，积极谋划辖区内开发建设工作重点，形成《近期重点片区、重点项目规划编制工作清单》，分类有序组织编制实施详细规划。”结合《西安市国土空间城镇开发边界内详细规划编制审批管理实施监督暂行规定》（市政办发〔2024〕36号）相关内容，先行编制实施详细规划结合所在单元导则初步成果进行论证，经西安市自然资源和规划局先行审查作为建设项目核提规划条件的依据。同时，依据《西安市城镇开发边界内详细规划编制审批管理和实施操作流程(暂行)》（市资源发[2025]37号）、《关于做好近期详细规划编制审批管理及实施监督相关工作的通知》（市资源发[2025]38号）的相关要求，结合项目建设、用地规划条件核提等需要，现需对QJ-09单元简王井片区范围内14宗地约768.987亩开展实施详细规划编制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1、供应商要求：城乡规划编制资质乙级及以上编制资质。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西安市自然资源和规划局长安分局土地储备中心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西安市自然资源和规划局长安分局土地储备中心经办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029-85296382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陕西中技招标有限公司</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采购包1：3,930,600.00元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招标代理服务费的收取参照国家计委颁布的《招标代理服务收费管理暂行办法》（计价格[2002]1980号）和（发改办价格[2003]857号）定额收取35000元。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西安市自然资源和规划局长安分局土地储备中心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西安市自然资源和规划局长安分局土地储备中心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西安市自然资源和规划局长安分局土地储备中心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市加快国土空间详细规划编制组织实施方案》（市政办发〔2024〕34号）文件要求，“聚焦近期发展需求，积极谋划辖区内开发建设工作重点，形成《近期重点片区、重点项目规划编制工作清单》，分类有序组织编制实施详细规划。”结合《西安市国土空间城镇开发边界内详细规划编制审批管理实施监督暂行规定》（市政办发〔2024〕36号）相关内容，先行编制实施详细规划结合所在单元导则初步成果进行论证，经西安市自然资源和规划局先行审查作为建设项目核提规划条件的依据。同时，依据《西安市城镇开发边界内详细规划编制审批管理和实施操作流程(暂行)》（市资源发[2025]37号）、《关于做好近期详细规划编制审批管理及实施监督相关工作的通知》（市资源发[2025]38号）的相关要求，结合项目建设、用地规划条件核提等需要，现需对QJ-09单元简王井片区范围内14宗地约768.987亩开展实施详细规划编制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3,930,600.00</w:t>
      </w:r>
    </w:p>
    <w:p>
      <w:pPr>
        <w:pStyle w:val="null3"/>
      </w:pPr>
      <w:r>
        <w:rPr>
          <w:rFonts w:ascii="仿宋_GB2312" w:hAnsi="仿宋_GB2312" w:cs="仿宋_GB2312" w:eastAsia="仿宋_GB2312"/>
        </w:rPr>
        <w:t>采购包最高限价（元）: 3,780,000.00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简王井片区QJ-09规划用地实施详细规划编制项目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3,930,600.00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标的名称：简王井片区QJ-09规划用地实施详细规划编制项目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一、根据《西安市加快国土空间详细规划编制组织实施方案》（市政办发〔</w:t>
            </w:r>
            <w:r>
              <w:rPr>
                <w:rFonts w:ascii="仿宋_GB2312" w:hAnsi="仿宋_GB2312" w:cs="仿宋_GB2312" w:eastAsia="仿宋_GB2312"/>
                <w:sz w:val="24"/>
              </w:rPr>
              <w:t>2024〕34号）文件要求，“聚焦近期发展需求，积极谋划辖区内开发建设工作重点，形成《近期重点片区、重点项目规划编制工作清单》，分类有序组织编制实施详细规划。”结合</w:t>
            </w:r>
            <w:r>
              <w:rPr>
                <w:rFonts w:ascii="仿宋_GB2312" w:hAnsi="仿宋_GB2312" w:cs="仿宋_GB2312" w:eastAsia="仿宋_GB2312"/>
                <w:sz w:val="24"/>
              </w:rPr>
              <w:t>《西安市国土空间城镇开发边界内详细规划编制审批管理实施监督暂行规定</w:t>
            </w:r>
            <w:r>
              <w:rPr>
                <w:rFonts w:ascii="仿宋_GB2312" w:hAnsi="仿宋_GB2312" w:cs="仿宋_GB2312" w:eastAsia="仿宋_GB2312"/>
                <w:sz w:val="24"/>
              </w:rPr>
              <w:t>》（市政</w:t>
            </w:r>
            <w:r>
              <w:rPr>
                <w:rFonts w:ascii="仿宋_GB2312" w:hAnsi="仿宋_GB2312" w:cs="仿宋_GB2312" w:eastAsia="仿宋_GB2312"/>
                <w:sz w:val="24"/>
              </w:rPr>
              <w:t>办发〔</w:t>
            </w:r>
            <w:r>
              <w:rPr>
                <w:rFonts w:ascii="仿宋_GB2312" w:hAnsi="仿宋_GB2312" w:cs="仿宋_GB2312" w:eastAsia="仿宋_GB2312"/>
                <w:sz w:val="24"/>
              </w:rPr>
              <w:t>2024〕36号）相关内容，先行编制实施详细规划结合所在单元导则初步成果进行论证，经西安市自然资源和规划局先行审查作为建设项目核提规划条件的依据。同时，依据《西安市城镇开发边界内详细规划编制审批管理和实施操作流程(暂行)》（市资源发[2025]37号）、《关于做好近期详细规划编制审批管理及实施监督相关工作的通知》（市资源发[2025]38号）的相关要求，结合项目建设、用地规划条件核提等需要，现需对QJ-09单元简王井片区范围内14宗地约768.987亩开展实施详细规划编制工作。本次采购服务包括但不限于以下内容：</w:t>
            </w:r>
          </w:p>
          <w:p>
            <w:pPr>
              <w:pStyle w:val="null3"/>
              <w:ind w:firstLine="480"/>
              <w:jc w:val="both"/>
            </w:pPr>
            <w:r>
              <w:rPr>
                <w:rFonts w:ascii="仿宋_GB2312" w:hAnsi="仿宋_GB2312" w:cs="仿宋_GB2312" w:eastAsia="仿宋_GB2312"/>
                <w:sz w:val="24"/>
              </w:rPr>
              <w:t>1.单元优化研究；</w:t>
            </w:r>
          </w:p>
          <w:p>
            <w:pPr>
              <w:pStyle w:val="null3"/>
              <w:ind w:firstLine="480"/>
              <w:jc w:val="both"/>
            </w:pPr>
            <w:r>
              <w:rPr>
                <w:rFonts w:ascii="仿宋_GB2312" w:hAnsi="仿宋_GB2312" w:cs="仿宋_GB2312" w:eastAsia="仿宋_GB2312"/>
                <w:sz w:val="24"/>
              </w:rPr>
              <w:t>2.规划条件核提；</w:t>
            </w:r>
          </w:p>
          <w:p>
            <w:pPr>
              <w:pStyle w:val="null3"/>
              <w:ind w:firstLine="480"/>
              <w:jc w:val="both"/>
            </w:pPr>
            <w:r>
              <w:rPr>
                <w:rFonts w:ascii="仿宋_GB2312" w:hAnsi="仿宋_GB2312" w:cs="仿宋_GB2312" w:eastAsia="仿宋_GB2312"/>
                <w:sz w:val="24"/>
              </w:rPr>
              <w:t>3.修建性详细规划；</w:t>
            </w:r>
          </w:p>
          <w:p>
            <w:pPr>
              <w:pStyle w:val="null3"/>
              <w:ind w:firstLine="480"/>
              <w:jc w:val="both"/>
            </w:pPr>
            <w:r>
              <w:rPr>
                <w:rFonts w:ascii="仿宋_GB2312" w:hAnsi="仿宋_GB2312" w:cs="仿宋_GB2312" w:eastAsia="仿宋_GB2312"/>
                <w:sz w:val="24"/>
              </w:rPr>
              <w:t>4.总平面设计；</w:t>
            </w:r>
          </w:p>
          <w:p>
            <w:pPr>
              <w:pStyle w:val="null3"/>
              <w:ind w:firstLine="480"/>
              <w:jc w:val="both"/>
            </w:pPr>
            <w:r>
              <w:rPr>
                <w:rFonts w:ascii="仿宋_GB2312" w:hAnsi="仿宋_GB2312" w:cs="仿宋_GB2312" w:eastAsia="仿宋_GB2312"/>
                <w:sz w:val="24"/>
              </w:rPr>
              <w:t>5.供地方案</w:t>
            </w:r>
          </w:p>
          <w:p>
            <w:pPr>
              <w:pStyle w:val="null3"/>
              <w:ind w:firstLine="480"/>
            </w:pPr>
            <w:r>
              <w:rPr>
                <w:rFonts w:ascii="仿宋_GB2312" w:hAnsi="仿宋_GB2312" w:cs="仿宋_GB2312" w:eastAsia="仿宋_GB2312"/>
                <w:sz w:val="24"/>
              </w:rPr>
              <w:t>二、服务要求</w:t>
            </w:r>
          </w:p>
          <w:p>
            <w:pPr>
              <w:pStyle w:val="null3"/>
              <w:ind w:firstLine="480"/>
              <w:jc w:val="both"/>
            </w:pPr>
            <w:r>
              <w:rPr>
                <w:rFonts w:ascii="仿宋_GB2312" w:hAnsi="仿宋_GB2312" w:cs="仿宋_GB2312" w:eastAsia="仿宋_GB2312"/>
                <w:sz w:val="24"/>
              </w:rPr>
              <w:t>1、必须掌握西安市国土空间总体规划信息的准确数据；熟悉国家规范，了解省市相关政策，确保项目成果符合相关部门审查审批要求。</w:t>
            </w:r>
          </w:p>
          <w:p>
            <w:pPr>
              <w:pStyle w:val="null3"/>
              <w:ind w:firstLine="480"/>
              <w:jc w:val="both"/>
            </w:pPr>
            <w:r>
              <w:rPr>
                <w:rFonts w:ascii="仿宋_GB2312" w:hAnsi="仿宋_GB2312" w:cs="仿宋_GB2312" w:eastAsia="仿宋_GB2312"/>
                <w:sz w:val="24"/>
              </w:rPr>
              <w:t>2、必须保证规划成果的科学性、合理性、适用性，并确保设计成果通过相关部门审核。</w:t>
            </w:r>
          </w:p>
          <w:p>
            <w:pPr>
              <w:pStyle w:val="null3"/>
              <w:ind w:firstLine="480"/>
              <w:jc w:val="both"/>
            </w:pPr>
            <w:r>
              <w:rPr>
                <w:rFonts w:ascii="仿宋_GB2312" w:hAnsi="仿宋_GB2312" w:cs="仿宋_GB2312" w:eastAsia="仿宋_GB2312"/>
                <w:sz w:val="24"/>
              </w:rPr>
              <w:t>3、根据宗地项目的不同，合理约定项目成果交付时限，但原则上必须控制在项目经相关部门初审通过后5个工作日内出册，并严格按约定的时限提供规划成果；且在项目实施过程中能够不受费用结算的影响，积极履行“先交付成果后统一据实结算”的原则。</w:t>
            </w:r>
          </w:p>
          <w:p>
            <w:pPr>
              <w:pStyle w:val="null3"/>
              <w:ind w:firstLine="480"/>
              <w:jc w:val="both"/>
            </w:pPr>
            <w:r>
              <w:rPr>
                <w:rFonts w:ascii="仿宋_GB2312" w:hAnsi="仿宋_GB2312" w:cs="仿宋_GB2312" w:eastAsia="仿宋_GB2312"/>
                <w:sz w:val="24"/>
              </w:rPr>
              <w:t>4、因设计单位原因造成的设计质量事故时，必须及时采取补救措施，并承担因此而造成的违约金，其违约金为：每逾期一天承担项目总服务费用的千分之二。</w:t>
            </w:r>
          </w:p>
          <w:p>
            <w:pPr>
              <w:pStyle w:val="null3"/>
              <w:ind w:firstLine="480"/>
              <w:jc w:val="both"/>
            </w:pPr>
            <w:r>
              <w:rPr>
                <w:rFonts w:ascii="仿宋_GB2312" w:hAnsi="仿宋_GB2312" w:cs="仿宋_GB2312" w:eastAsia="仿宋_GB2312"/>
                <w:sz w:val="24"/>
              </w:rPr>
              <w:t>5、服务期：自合同签订之日起贰年。</w:t>
            </w:r>
          </w:p>
          <w:p>
            <w:pPr>
              <w:pStyle w:val="null3"/>
              <w:ind w:firstLine="480"/>
              <w:jc w:val="both"/>
            </w:pPr>
            <w:r>
              <w:rPr>
                <w:rFonts w:ascii="仿宋_GB2312" w:hAnsi="仿宋_GB2312" w:cs="仿宋_GB2312" w:eastAsia="仿宋_GB2312"/>
                <w:sz w:val="24"/>
              </w:rPr>
              <w:t>6、服务范围：需对QJ-09单元简王井片区范围内14宗地开展实施详细规划编制工作，项目用地最终范围以政府审批为准。</w:t>
            </w:r>
          </w:p>
          <w:p>
            <w:pPr>
              <w:pStyle w:val="null3"/>
              <w:ind w:left="1080" w:firstLine="420"/>
              <w:jc w:val="both"/>
            </w:pPr>
            <w:r>
              <w:rPr>
                <w:rFonts w:ascii="仿宋_GB2312" w:hAnsi="仿宋_GB2312" w:cs="仿宋_GB2312" w:eastAsia="仿宋_GB2312"/>
                <w:sz w:val="24"/>
              </w:rPr>
              <w:t>三、服务内容</w:t>
            </w:r>
          </w:p>
          <w:p>
            <w:pPr>
              <w:pStyle w:val="null3"/>
              <w:ind w:firstLine="480"/>
              <w:jc w:val="both"/>
            </w:pPr>
            <w:r>
              <w:rPr>
                <w:rFonts w:ascii="仿宋_GB2312" w:hAnsi="仿宋_GB2312" w:cs="仿宋_GB2312" w:eastAsia="仿宋_GB2312"/>
                <w:sz w:val="24"/>
              </w:rPr>
              <w:t>按照西安市人民政府办公厅下发《西安市国土空间城镇开发边界内详细规划编制审批管理实施监督暂行规定》，西安市自然资源和规划局下发《西安市城镇开发边界内详细规划编制相关指引（试行）》、《西安市城镇开发边界内详细规划编制审批管理和实施操作流程</w:t>
            </w:r>
            <w:r>
              <w:rPr>
                <w:rFonts w:ascii="仿宋_GB2312" w:hAnsi="仿宋_GB2312" w:cs="仿宋_GB2312" w:eastAsia="仿宋_GB2312"/>
                <w:sz w:val="24"/>
              </w:rPr>
              <w:t>(暂行)》（市资源发[2025]37号）、《关于做好近期详细规划编制审批管理及实施监督相关工作的通知》（市资源发[2025]38号）的相关要求，实施详细规划应</w:t>
            </w:r>
            <w:r>
              <w:rPr>
                <w:rFonts w:ascii="仿宋_GB2312" w:hAnsi="仿宋_GB2312" w:cs="仿宋_GB2312" w:eastAsia="仿宋_GB2312"/>
                <w:sz w:val="24"/>
              </w:rPr>
              <w:t>（</w:t>
            </w:r>
            <w:r>
              <w:rPr>
                <w:rFonts w:ascii="仿宋_GB2312" w:hAnsi="仿宋_GB2312" w:cs="仿宋_GB2312" w:eastAsia="仿宋_GB2312"/>
                <w:sz w:val="24"/>
              </w:rPr>
              <w:t>包含</w:t>
            </w:r>
            <w:r>
              <w:rPr>
                <w:rFonts w:ascii="仿宋_GB2312" w:hAnsi="仿宋_GB2312" w:cs="仿宋_GB2312" w:eastAsia="仿宋_GB2312"/>
                <w:sz w:val="24"/>
              </w:rPr>
              <w:t>但不限于</w:t>
            </w:r>
            <w:r>
              <w:rPr>
                <w:rFonts w:ascii="仿宋_GB2312" w:hAnsi="仿宋_GB2312" w:cs="仿宋_GB2312" w:eastAsia="仿宋_GB2312"/>
                <w:sz w:val="24"/>
              </w:rPr>
              <w:t>）</w:t>
            </w:r>
            <w:r>
              <w:rPr>
                <w:rFonts w:ascii="仿宋_GB2312" w:hAnsi="仿宋_GB2312" w:cs="仿宋_GB2312" w:eastAsia="仿宋_GB2312"/>
                <w:sz w:val="24"/>
              </w:rPr>
              <w:t>项目研究范围的相关分析研究，强制性内容研究以及编制完成用地布局、地块控制、配套设施及立体开发、海绵城市建设、城市设计、建设意向方案等内容。</w:t>
            </w:r>
          </w:p>
          <w:p>
            <w:pPr>
              <w:pStyle w:val="null3"/>
              <w:ind w:firstLine="480"/>
              <w:jc w:val="both"/>
            </w:pPr>
            <w:r>
              <w:rPr>
                <w:rFonts w:ascii="仿宋_GB2312" w:hAnsi="仿宋_GB2312" w:cs="仿宋_GB2312" w:eastAsia="仿宋_GB2312"/>
                <w:sz w:val="24"/>
              </w:rPr>
              <w:t>根据《指引》要求，实施详细规划将明确地块具体经济指标，包括地上建筑面积、地下建筑面积、地下开挖界线、停车位配建方式（地上、地下、特殊车位等）、与周边建筑间距、公服位置、场地尺寸要求等。因此，在过渡期，编制实施详细规划为核提规划条件提供前置技术支撑依据。</w:t>
            </w:r>
          </w:p>
          <w:p>
            <w:pPr>
              <w:pStyle w:val="null3"/>
              <w:ind w:firstLine="480"/>
              <w:jc w:val="both"/>
            </w:pPr>
            <w:r>
              <w:rPr>
                <w:rFonts w:ascii="仿宋_GB2312" w:hAnsi="仿宋_GB2312" w:cs="仿宋_GB2312" w:eastAsia="仿宋_GB2312"/>
                <w:sz w:val="24"/>
              </w:rPr>
              <w:t>编制供地方案，包括一表（供地方案一览表）四图（地块详则图、位置示意图、航拍图、规划指标说明附图），供地方案</w:t>
            </w:r>
            <w:r>
              <w:rPr>
                <w:rFonts w:ascii="仿宋_GB2312" w:hAnsi="仿宋_GB2312" w:cs="仿宋_GB2312" w:eastAsia="仿宋_GB2312"/>
                <w:sz w:val="24"/>
              </w:rPr>
              <w:t>PPT等。</w:t>
            </w:r>
          </w:p>
          <w:p>
            <w:pPr>
              <w:pStyle w:val="null3"/>
              <w:ind w:firstLine="480"/>
              <w:jc w:val="both"/>
            </w:pPr>
            <w:r>
              <w:rPr>
                <w:rFonts w:ascii="仿宋_GB2312" w:hAnsi="仿宋_GB2312" w:cs="仿宋_GB2312" w:eastAsia="仿宋_GB2312"/>
                <w:sz w:val="24"/>
              </w:rPr>
              <w:t>四、服务成果</w:t>
            </w:r>
          </w:p>
          <w:p>
            <w:pPr>
              <w:pStyle w:val="null3"/>
              <w:ind w:firstLine="480"/>
              <w:jc w:val="both"/>
            </w:pPr>
            <w:r>
              <w:rPr>
                <w:rFonts w:ascii="仿宋_GB2312" w:hAnsi="仿宋_GB2312" w:cs="仿宋_GB2312" w:eastAsia="仿宋_GB2312"/>
                <w:sz w:val="24"/>
              </w:rPr>
              <w:t>依据《西安市城镇开发边界内详细规划编制审批管理和实施操作流程</w:t>
            </w:r>
            <w:r>
              <w:rPr>
                <w:rFonts w:ascii="仿宋_GB2312" w:hAnsi="仿宋_GB2312" w:cs="仿宋_GB2312" w:eastAsia="仿宋_GB2312"/>
                <w:sz w:val="24"/>
              </w:rPr>
              <w:t>(暂行)》（市资源发[2025]37号）、《关于做好近期详细规划编制审批管理及实施监督相关工作的通知》（市资源发[2025]38号）的相关要求，根据西安市自然资源和规划长安分局土地储备中心提供的资料，按宗地需要，应包含出具规划图册、论证报告六本及电子成果（word或jpg格式）一套。</w:t>
            </w:r>
          </w:p>
          <w:p>
            <w:pPr>
              <w:pStyle w:val="null3"/>
              <w:ind w:firstLine="480"/>
              <w:jc w:val="both"/>
            </w:pPr>
            <w:r>
              <w:rPr>
                <w:rFonts w:ascii="仿宋_GB2312" w:hAnsi="仿宋_GB2312" w:cs="仿宋_GB2312" w:eastAsia="仿宋_GB2312"/>
                <w:sz w:val="24"/>
              </w:rPr>
              <w:t>按照供地方案编制要求，提交一表四图及方案</w:t>
            </w:r>
            <w:r>
              <w:rPr>
                <w:rFonts w:ascii="仿宋_GB2312" w:hAnsi="仿宋_GB2312" w:cs="仿宋_GB2312" w:eastAsia="仿宋_GB2312"/>
                <w:sz w:val="24"/>
              </w:rPr>
              <w:t>PPT。</w:t>
            </w:r>
          </w:p>
          <w:p>
            <w:pPr>
              <w:pStyle w:val="null3"/>
              <w:ind w:firstLine="480"/>
              <w:jc w:val="both"/>
            </w:pPr>
            <w:r>
              <w:rPr>
                <w:rFonts w:ascii="仿宋_GB2312" w:hAnsi="仿宋_GB2312" w:cs="仿宋_GB2312" w:eastAsia="仿宋_GB2312"/>
                <w:sz w:val="24"/>
              </w:rPr>
              <w:t>最终成果结合政策文件要求，以甲乙双方沟通结果为准。</w:t>
            </w:r>
          </w:p>
          <w:p>
            <w:pPr>
              <w:pStyle w:val="null3"/>
              <w:ind w:firstLine="480"/>
              <w:jc w:val="both"/>
            </w:pPr>
            <w:r>
              <w:rPr>
                <w:rFonts w:ascii="仿宋_GB2312" w:hAnsi="仿宋_GB2312" w:cs="仿宋_GB2312" w:eastAsia="仿宋_GB2312"/>
                <w:sz w:val="24"/>
              </w:rPr>
              <w:t>五、采购最高限价：</w:t>
            </w:r>
          </w:p>
          <w:p>
            <w:pPr>
              <w:pStyle w:val="null3"/>
              <w:ind w:firstLine="482"/>
              <w:jc w:val="both"/>
            </w:pPr>
            <w:r>
              <w:rPr>
                <w:rFonts w:ascii="仿宋_GB2312" w:hAnsi="仿宋_GB2312" w:cs="仿宋_GB2312" w:eastAsia="仿宋_GB2312"/>
                <w:sz w:val="24"/>
                <w:b/>
              </w:rPr>
              <w:t>结合工作成果要求，本次项目最高限价总额为</w:t>
            </w:r>
            <w:r>
              <w:rPr>
                <w:rFonts w:ascii="仿宋_GB2312" w:hAnsi="仿宋_GB2312" w:cs="仿宋_GB2312" w:eastAsia="仿宋_GB2312"/>
                <w:sz w:val="24"/>
                <w:b/>
              </w:rPr>
              <w:t>3</w:t>
            </w:r>
            <w:r>
              <w:rPr>
                <w:rFonts w:ascii="仿宋_GB2312" w:hAnsi="仿宋_GB2312" w:cs="仿宋_GB2312" w:eastAsia="仿宋_GB2312"/>
                <w:sz w:val="24"/>
                <w:b/>
              </w:rPr>
              <w:t>78</w:t>
            </w:r>
            <w:r>
              <w:rPr>
                <w:rFonts w:ascii="仿宋_GB2312" w:hAnsi="仿宋_GB2312" w:cs="仿宋_GB2312" w:eastAsia="仿宋_GB2312"/>
                <w:sz w:val="24"/>
                <w:b/>
              </w:rPr>
              <w:t>万元，参考单元优化研究、规划条件核提、修建性详细规划、总平面设计、供地方案等计费标准，综合每平方米最高限价为</w:t>
            </w:r>
            <w:r>
              <w:rPr>
                <w:rFonts w:ascii="仿宋_GB2312" w:hAnsi="仿宋_GB2312" w:cs="仿宋_GB2312" w:eastAsia="仿宋_GB2312"/>
                <w:sz w:val="24"/>
                <w:b/>
              </w:rPr>
              <w:t>2.00元（总建筑面积）。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1）单元优化研究</w:t>
            </w:r>
          </w:p>
          <w:p>
            <w:pPr>
              <w:pStyle w:val="null3"/>
              <w:ind w:firstLine="480"/>
              <w:jc w:val="both"/>
            </w:pPr>
            <w:r>
              <w:rPr>
                <w:rFonts w:ascii="仿宋_GB2312" w:hAnsi="仿宋_GB2312" w:cs="仿宋_GB2312" w:eastAsia="仿宋_GB2312"/>
                <w:sz w:val="24"/>
              </w:rPr>
              <w:t>参照</w:t>
            </w:r>
            <w:r>
              <w:rPr>
                <w:rFonts w:ascii="仿宋_GB2312" w:hAnsi="仿宋_GB2312" w:cs="仿宋_GB2312" w:eastAsia="仿宋_GB2312"/>
                <w:sz w:val="24"/>
              </w:rPr>
              <w:t>《城市规划设计计费指导意见》（</w:t>
            </w:r>
            <w:r>
              <w:rPr>
                <w:rFonts w:ascii="仿宋_GB2312" w:hAnsi="仿宋_GB2312" w:cs="仿宋_GB2312" w:eastAsia="仿宋_GB2312"/>
                <w:sz w:val="24"/>
              </w:rPr>
              <w:t>2004版）</w:t>
            </w:r>
            <w:r>
              <w:rPr>
                <w:rFonts w:ascii="仿宋_GB2312" w:hAnsi="仿宋_GB2312" w:cs="仿宋_GB2312" w:eastAsia="仿宋_GB2312"/>
                <w:sz w:val="24"/>
              </w:rPr>
              <w:t>中控制性详细规划标准（重点地段</w:t>
            </w:r>
            <w:r>
              <w:rPr>
                <w:rFonts w:ascii="仿宋_GB2312" w:hAnsi="仿宋_GB2312" w:cs="仿宋_GB2312" w:eastAsia="仿宋_GB2312"/>
                <w:sz w:val="24"/>
              </w:rPr>
              <w:t>3500元/公顷）。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2）规划条件核提</w:t>
            </w:r>
          </w:p>
          <w:p>
            <w:pPr>
              <w:pStyle w:val="null3"/>
              <w:ind w:firstLine="480"/>
              <w:jc w:val="both"/>
            </w:pPr>
            <w:r>
              <w:rPr>
                <w:rFonts w:ascii="仿宋_GB2312" w:hAnsi="仿宋_GB2312" w:cs="仿宋_GB2312" w:eastAsia="仿宋_GB2312"/>
                <w:sz w:val="24"/>
              </w:rPr>
              <w:t>参照《城市规划设计计费指导意见》（</w:t>
            </w:r>
            <w:r>
              <w:rPr>
                <w:rFonts w:ascii="仿宋_GB2312" w:hAnsi="仿宋_GB2312" w:cs="仿宋_GB2312" w:eastAsia="仿宋_GB2312"/>
                <w:sz w:val="24"/>
              </w:rPr>
              <w:t>2004版）（以下简称《意见》）“三、详细规划，1、控制性详细规划-重点地段，3500元/公顷，基价10万元”标准。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3）修建性详细规划</w:t>
            </w:r>
          </w:p>
          <w:p>
            <w:pPr>
              <w:pStyle w:val="null3"/>
              <w:ind w:firstLine="480"/>
              <w:jc w:val="both"/>
            </w:pPr>
            <w:r>
              <w:rPr>
                <w:rFonts w:ascii="仿宋_GB2312" w:hAnsi="仿宋_GB2312" w:cs="仿宋_GB2312" w:eastAsia="仿宋_GB2312"/>
                <w:sz w:val="24"/>
              </w:rPr>
              <w:t>参照《意见》</w:t>
            </w:r>
            <w:r>
              <w:rPr>
                <w:rFonts w:ascii="仿宋_GB2312" w:hAnsi="仿宋_GB2312" w:cs="仿宋_GB2312" w:eastAsia="仿宋_GB2312"/>
                <w:sz w:val="24"/>
              </w:rPr>
              <w:t>“三、详细规划，2、修建性详细规划-重点地段，16000元/公顷，基价6万元”标准。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4）总平面设计</w:t>
            </w:r>
          </w:p>
          <w:p>
            <w:pPr>
              <w:pStyle w:val="null3"/>
              <w:ind w:firstLine="480"/>
              <w:jc w:val="both"/>
            </w:pPr>
            <w:r>
              <w:rPr>
                <w:rFonts w:ascii="仿宋_GB2312" w:hAnsi="仿宋_GB2312" w:cs="仿宋_GB2312" w:eastAsia="仿宋_GB2312"/>
                <w:sz w:val="24"/>
              </w:rPr>
              <w:t>参照《意见》</w:t>
            </w:r>
            <w:r>
              <w:rPr>
                <w:rFonts w:ascii="仿宋_GB2312" w:hAnsi="仿宋_GB2312" w:cs="仿宋_GB2312" w:eastAsia="仿宋_GB2312"/>
                <w:sz w:val="24"/>
              </w:rPr>
              <w:t>“三、详细规划，2、修建性详细规划-重点地段-注4，进行修建性总平面设计，增加50%的规划费用”标准。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5）供地方案</w:t>
            </w:r>
          </w:p>
          <w:p>
            <w:pPr>
              <w:pStyle w:val="null3"/>
              <w:jc w:val="both"/>
            </w:pPr>
            <w:r>
              <w:rPr>
                <w:rFonts w:ascii="仿宋_GB2312" w:hAnsi="仿宋_GB2312" w:cs="仿宋_GB2312" w:eastAsia="仿宋_GB2312"/>
                <w:sz w:val="24"/>
              </w:rPr>
              <w:t>参照《意见》</w:t>
            </w:r>
            <w:r>
              <w:rPr>
                <w:rFonts w:ascii="仿宋_GB2312" w:hAnsi="仿宋_GB2312" w:cs="仿宋_GB2312" w:eastAsia="仿宋_GB2312"/>
                <w:sz w:val="24"/>
              </w:rPr>
              <w:t>“八、城市设计，2、不同规划阶段基础上增加城市设计内容， 应在相应阶段的规划设计计费的基础上，增加 30％－50％的规划设计费”的标准。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自合同签订之日起贰年。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按照项目规划设计编制计费服务单价，根据土地储备流程签订单个项目报告编制合同，一次性据实结算单个项目费用。累计合同总金额最高上限人民币3,780,000.00元</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根据《陕西省中小企业政府采购信用融资办法》（陕财办采（2018）23号）、《陕西省财政厅关于加快推进我省中小企业政府采购信用融资工作的通知》《陕财办采（2020）15号》、《西安市长安区财政局关于进一步做好政采贷工作的通知》（长财字〔2021〕223号）的有关规定，有融资需求的供应商可根据自身情况，在陕西省政府采购信用融资平台（含各市分平台）自主选择金融机构及其融资产品，凭政府采购中标（成交）通知书或政府采购合同向金融机构提出融资申请。 融资政策链接：http://www.ccgp-shanxi.gov.cn/zcdservice/zcd/shanxi/) 2.本项目中标供应商须在领取中标通知书时提供纸质投标文件一套正本及一套副本交由采购代理机构备案，该文件须与线上电子投标文件完全一致。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2、具有良好的商业信誉和健全的财务会计制度（提供2023或2024年度财务审计报告或开标前近6个月内的银行资信证明或财政部门认可的政府采购专业担保机构出具的投标担保函）； 3、具有履行合同所必需的设备和专业技术能力（格式详见附件）； 4、具有依法缴纳税收和社会保障资金的良好记录（提供开标前6个月内任一月份的社保和缴纳税收的证明，依法不需要缴纳社会保障资金、免税或无须缴纳税款的供应商，应提供相关证明文件)； 5、参加政府采购活动前三年内，在经营活动中没有重大违法记录（格式详见附件）。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具有良好的商业信誉和健全的财务会计制度（提供2023或2024年度财务审计报告或开标前近6个月内的银行资信证明或财政部门认可的政府采购专业担保机构出具的投标担保函）。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城乡规划编制资质乙级及以上编制资质。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开标一览表 标的清单 陕西省政府采购供货商拒绝政府采购领域商业贿赂承诺书.docx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法定代表人直接参加的，须提供身份证；法定代表人授权他人参加的，须提供法定代表人授权委托书</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服务期符合招标文件要求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付款方式符合招标文件要求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报价唯一，且报价不超过综合单价最高限价。</w:t>
            </w:r>
          </w:p>
        </w:tc>
        <w:tc>
          <w:tcPr>
            <w:tcW w:type="dxa" w:w="1661"/>
          </w:tcPr>
          <w:p>
            <w:pPr>
              <w:pStyle w:val="null3"/>
            </w:pPr>
            <w:r>
              <w:rPr>
                <w:rFonts w:ascii="仿宋_GB2312" w:hAnsi="仿宋_GB2312" w:cs="仿宋_GB2312" w:eastAsia="仿宋_GB2312"/>
              </w:rPr>
              <w:t>开标一览表 分项报价表.docx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整体服务方案完整，包括：①识别项目重难点，充分结合简王井片区相关上位规划和专项规划的管控要求；②提出工作思路，突出针对性和可操作性；③结合重难点提出针对性的应对措施，必要时提供科学性、合理性、实施操作性的论证说明；④对重难点相关经验描述等。 1.每一项服务方案内容准确、重点突出、完整齐全的得2分； 2.每一项服务方案内容略准确，重点不够突出、内容有缺失的得1分； 3.未提供服务方案得0分。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针对本项目编制大纲的完整性程度高，满足要求得6分；编制大纲的完整性程度基本满足要求得4分；完整性程度一般得2分。未提供不得分。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针对本项目编制依据、成果的完整性、适用性、科学性程度高，满足要求得6分；科学性程度基本满足要求得4分；科学性程度一般得2分。未提供不得分。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对项目理解充分，内容描述全面得6分；有一定的理解，较为全面得4分；对项目理解不足得2分。项目理解不合理或未提供的不得分。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有明确的总体目标并进行详细解读的得6分；解读不够详细的得4分；解读较少得2分。项目理解不合理或未提供的不得分。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服务方案6</w:t>
            </w:r>
          </w:p>
        </w:tc>
        <w:tc>
          <w:tcPr>
            <w:tcW w:type="dxa" w:w="2492"/>
          </w:tcPr>
          <w:p>
            <w:pPr>
              <w:pStyle w:val="null3"/>
            </w:pPr>
            <w:r>
              <w:rPr>
                <w:rFonts w:ascii="仿宋_GB2312" w:hAnsi="仿宋_GB2312" w:cs="仿宋_GB2312" w:eastAsia="仿宋_GB2312"/>
              </w:rPr>
              <w:t>针对本项目合理化建议行之有效、分析透彻得5分；有一定建议得3分；建议一般得1分。建议不合理未提供不得分。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服务方案7</w:t>
            </w:r>
          </w:p>
        </w:tc>
        <w:tc>
          <w:tcPr>
            <w:tcW w:type="dxa" w:w="2492"/>
          </w:tcPr>
          <w:p>
            <w:pPr>
              <w:pStyle w:val="null3"/>
            </w:pPr>
            <w:r>
              <w:rPr>
                <w:rFonts w:ascii="仿宋_GB2312" w:hAnsi="仿宋_GB2312" w:cs="仿宋_GB2312" w:eastAsia="仿宋_GB2312"/>
              </w:rPr>
              <w:t>项目出现突发状况或问题后的补救措施等方面，有明确、切实可行、内容详尽的应急补救措施得5分；应急补救措施内容基本可行得3分；应急补救措施一般得1分。措施不合理未提供不得分。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服务方案8</w:t>
            </w:r>
          </w:p>
        </w:tc>
        <w:tc>
          <w:tcPr>
            <w:tcW w:type="dxa" w:w="2492"/>
          </w:tcPr>
          <w:p>
            <w:pPr>
              <w:pStyle w:val="null3"/>
            </w:pPr>
            <w:r>
              <w:rPr>
                <w:rFonts w:ascii="仿宋_GB2312" w:hAnsi="仿宋_GB2312" w:cs="仿宋_GB2312" w:eastAsia="仿宋_GB2312"/>
              </w:rPr>
              <w:t>对项目实施过程中的重点、难点分析及解决方案，供应商根据本项目的实际情况，提出有针对性的关键点分析及解决方案，且关键点分析准确，解决方案得当的得5分；分析较准确，方案较得当得3分；方案一般得1分。方案不合理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服务方案9</w:t>
            </w:r>
          </w:p>
        </w:tc>
        <w:tc>
          <w:tcPr>
            <w:tcW w:type="dxa" w:w="2492"/>
          </w:tcPr>
          <w:p>
            <w:pPr>
              <w:pStyle w:val="null3"/>
            </w:pPr>
            <w:r>
              <w:rPr>
                <w:rFonts w:ascii="仿宋_GB2312" w:hAnsi="仿宋_GB2312" w:cs="仿宋_GB2312" w:eastAsia="仿宋_GB2312"/>
              </w:rPr>
              <w:t>供应商针对本项目招标内容有明确的进度安排，合理的成果交付时限且进度安排科学合理，完全满足需求得5分；有一定的进度安排，成果交付时限较合理得3分；进度安排一般得1分。进度安排不合理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项目负责人同时具备正高级工程师及国家注册城乡规划师资格的得5分; 项目负责人具备高级工程师及国家注册城乡规划师资格的得3分； 项目负责人具备工程师或国家注册城乡规划师资格的得1分； 未提供不得分。 （提供人员有效证书复印件及在本单位的社保证明（开标前6个月内任意一个月的），加盖公章）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拟投入本项目的人员一览表.docx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项目组成员具有城乡规划或城市规划高级职称的，一个得1分，满分5分。未提供不得分。（提供人员有效证书复印件及在本单位的社保证明（开标前6个月内任意一个月的），加盖公章）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拟投入本项目的人员一览表.docx</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对采购内容的相关进度要求、时限要求、报告编制质量与时效等做出承诺，承诺全面，满足要求，保障有力得5分；承诺较全面，基本满足要求得3分；承诺不够全面，保障一般得1分。未提供不得分。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对报告编制后期服务相关内容做出承诺，后续服务安排及保障全面可行得5分；后续服务安排及保障较为全面可行得3分；后续服务安排及保障一般得1分。未提供不得分。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供应商在项目实施期间能够快速响应、处理采购人的各种采购需求，有明确的响应时间及人员安排，确保项目顺利、高效开展。服务内容清晰、有效，承诺全面得5分；基本清晰有效得3分；不全面，服务内容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保密及合理化建议</w:t>
            </w:r>
          </w:p>
        </w:tc>
        <w:tc>
          <w:tcPr>
            <w:tcW w:type="dxa" w:w="2492"/>
          </w:tcPr>
          <w:p>
            <w:pPr>
              <w:pStyle w:val="null3"/>
            </w:pPr>
            <w:r>
              <w:rPr>
                <w:rFonts w:ascii="仿宋_GB2312" w:hAnsi="仿宋_GB2312" w:cs="仿宋_GB2312" w:eastAsia="仿宋_GB2312"/>
              </w:rPr>
              <w:t>根据供应商对本项目提供的工作保密措施进行评审，包括但不限于以下内容：①保密内容、②保密措施及处置预案、③保密制度、④对本项目的合理化建议。 1.每一项内容描述准确、重点突出、完整齐全的得2分； 2.每一项内容描述略准确，重点不够突出、内容有缺失的得1分； 3.未提供保密方案得0分。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各供应商提供的2022年1月1日至今同类项目业绩，时间以合同签订的日期为准，每一个有效业绩得1分。满分5分。（完整合同复印件加盖公章附在投标文件中，否则不做为评审依据）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以实质性满足招标文件实质性要求的最低投标报价（综合每平方米）为评标基准价，报价得分=（评标基准价/投标报价）×价格分值。 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详见附件：投标方案承诺书.docx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详见附件：拟投入本项目的人员一览表.docx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