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版本号：HRDL-CG[2025]-123-04820250617001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长安区210国道项目涉及部分村庄安置用地地质灾害评估</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HRDL-CG[2025]-123-048</w:t>
      </w:r>
      <w:r>
        <w:br/>
      </w:r>
      <w:r>
        <w:br/>
      </w:r>
      <w:r>
        <w:br/>
      </w:r>
    </w:p>
    <w:p>
      <w:pPr>
        <w:pStyle w:val="null3"/>
        <w:jc w:val="center"/>
        <w:outlineLvl w:val="2"/>
      </w:pPr>
      <w:r>
        <w:rPr>
          <w:rFonts w:ascii="仿宋_GB2312" w:hAnsi="仿宋_GB2312" w:cs="仿宋_GB2312" w:eastAsia="仿宋_GB2312"/>
          <w:sz w:val="28"/>
          <w:b/>
        </w:rPr>
        <w:t>西安市长安区交通运输局</w:t>
      </w:r>
    </w:p>
    <w:p>
      <w:pPr>
        <w:pStyle w:val="null3"/>
        <w:jc w:val="center"/>
        <w:outlineLvl w:val="2"/>
      </w:pPr>
      <w:r>
        <w:rPr>
          <w:rFonts w:ascii="仿宋_GB2312" w:hAnsi="仿宋_GB2312" w:cs="仿宋_GB2312" w:eastAsia="仿宋_GB2312"/>
          <w:sz w:val="28"/>
          <w:b/>
        </w:rPr>
        <w:t>陕西恒瑞项目管理有限公司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陕西恒瑞项目管理有限公司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西安市长安区交通运输局</w:t>
      </w:r>
      <w:r>
        <w:rPr>
          <w:rFonts w:ascii="仿宋_GB2312" w:hAnsi="仿宋_GB2312" w:cs="仿宋_GB2312" w:eastAsia="仿宋_GB2312"/>
        </w:rPr>
        <w:t>委托，拟对</w:t>
      </w:r>
      <w:r>
        <w:rPr>
          <w:rFonts w:ascii="仿宋_GB2312" w:hAnsi="仿宋_GB2312" w:cs="仿宋_GB2312" w:eastAsia="仿宋_GB2312"/>
        </w:rPr>
        <w:t>长安区210国道项目涉及部分村庄安置用地地质灾害评估</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HRDL-CG[2025]-123-048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长安区210国道项目涉及部分村庄安置用地地质灾害评估</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长安区210国道项目涉及引镇街办枣姚村、鸣犊街办燎原村需进行安置用地地质灾害评估，确保210项目涉及的引镇街办枣姚村、鸣犊街办燎原村安置用地报批工作顺利推进。完成引镇街办枣姚村、鸣犊街办燎原村安置用地地质灾害评估并通过资规部门审核。</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采购包1（长安区210国道项目涉及部分村庄安置用地地质灾害评估）：属于专门面向中小企业采购。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1、企业资质：供应商须具备地质灾害危险性评估甲级资质证书。</w:t>
      </w:r>
    </w:p>
    <w:p>
      <w:pPr>
        <w:pStyle w:val="null3"/>
      </w:pPr>
      <w:r>
        <w:rPr>
          <w:rFonts w:ascii="仿宋_GB2312" w:hAnsi="仿宋_GB2312" w:cs="仿宋_GB2312" w:eastAsia="仿宋_GB2312"/>
        </w:rPr>
        <w:t>2、项目负责人：供应商拟派项目负责人应具有水文地质/地质环境工程高级及以上职称或相关专业高级及以上职称。</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西安市长安区青年街42号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029-85292304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西安市雁塔区南二环东段南侧凯森盛世1号A座25层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18691821087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代理服务费收费标准：1、招标代理服务费的收取按照国家计委颁布的《招标代理服务收费管理暂行办法》（计价格[2002]1980号）和（发改办价格[2003]857号）中服务类收费标准收取，不足5000.00元按5000.00元收取。 2、成交供应商在领取中标通知书时向采购代理机构支付招标代理服务费。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西安市长安区交通运输局</w:t>
      </w:r>
      <w:r>
        <w:rPr>
          <w:rFonts w:ascii="仿宋_GB2312" w:hAnsi="仿宋_GB2312" w:cs="仿宋_GB2312" w:eastAsia="仿宋_GB2312"/>
        </w:rPr>
        <w:t>和</w:t>
      </w:r>
      <w:r>
        <w:rPr>
          <w:rFonts w:ascii="仿宋_GB2312" w:hAnsi="仿宋_GB2312" w:cs="仿宋_GB2312" w:eastAsia="仿宋_GB2312"/>
        </w:rPr>
        <w:t>陕西恒瑞项目管理有限公司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联系人：曹军</w:t>
      </w:r>
    </w:p>
    <w:p>
      <w:pPr>
        <w:pStyle w:val="null3"/>
      </w:pPr>
      <w:r>
        <w:rPr>
          <w:rFonts w:ascii="仿宋_GB2312" w:hAnsi="仿宋_GB2312" w:cs="仿宋_GB2312" w:eastAsia="仿宋_GB2312"/>
        </w:rPr>
        <w:t>联系电话：18691821087</w:t>
      </w:r>
    </w:p>
    <w:p>
      <w:pPr>
        <w:pStyle w:val="null3"/>
      </w:pPr>
      <w:r>
        <w:rPr>
          <w:rFonts w:ascii="仿宋_GB2312" w:hAnsi="仿宋_GB2312" w:cs="仿宋_GB2312" w:eastAsia="仿宋_GB2312"/>
        </w:rPr>
        <w:t>地址：西安市雁塔区南二环东段南侧凯森盛世1号A座25层</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长安区210国道项目涉及引镇街办枣姚村、鸣犊街办燎原村需进行安置用地地质灾害评估，确保210项目涉及的引镇街办枣姚村、鸣犊街办燎原村安置用地报批工作顺利推进。完成引镇街办枣姚村、鸣犊街办燎原村安置用地地质灾害评估并通过资规部门审核。</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长安区210国道项目涉及部分村庄安置用地地质灾害评估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标的名称：长安区210国道项目涉及部分村庄安置用地地质灾害评估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第一条</w:t>
            </w:r>
            <w:r>
              <w:rPr>
                <w:rFonts w:ascii="仿宋_GB2312" w:hAnsi="仿宋_GB2312" w:cs="仿宋_GB2312" w:eastAsia="仿宋_GB2312"/>
              </w:rPr>
              <w:t>、</w:t>
            </w:r>
            <w:r>
              <w:rPr>
                <w:rFonts w:ascii="仿宋_GB2312" w:hAnsi="仿宋_GB2312" w:cs="仿宋_GB2312" w:eastAsia="仿宋_GB2312"/>
              </w:rPr>
              <w:t>项目概况</w:t>
            </w:r>
          </w:p>
          <w:p>
            <w:pPr>
              <w:pStyle w:val="null3"/>
              <w:ind w:firstLine="400"/>
            </w:pPr>
            <w:r>
              <w:rPr>
                <w:rFonts w:ascii="仿宋_GB2312" w:hAnsi="仿宋_GB2312" w:cs="仿宋_GB2312" w:eastAsia="仿宋_GB2312"/>
              </w:rPr>
              <w:t>长安区</w:t>
            </w:r>
            <w:r>
              <w:rPr>
                <w:rFonts w:ascii="仿宋_GB2312" w:hAnsi="仿宋_GB2312" w:cs="仿宋_GB2312" w:eastAsia="仿宋_GB2312"/>
              </w:rPr>
              <w:t>210</w:t>
            </w:r>
            <w:r>
              <w:rPr>
                <w:rFonts w:ascii="仿宋_GB2312" w:hAnsi="仿宋_GB2312" w:cs="仿宋_GB2312" w:eastAsia="仿宋_GB2312"/>
              </w:rPr>
              <w:t>国道项目涉及引镇街办枣姚村、鸣犊街办燎原村需进行安置用地地质灾害评估，确保</w:t>
            </w:r>
            <w:r>
              <w:rPr>
                <w:rFonts w:ascii="仿宋_GB2312" w:hAnsi="仿宋_GB2312" w:cs="仿宋_GB2312" w:eastAsia="仿宋_GB2312"/>
              </w:rPr>
              <w:t>210</w:t>
            </w:r>
            <w:r>
              <w:rPr>
                <w:rFonts w:ascii="仿宋_GB2312" w:hAnsi="仿宋_GB2312" w:cs="仿宋_GB2312" w:eastAsia="仿宋_GB2312"/>
              </w:rPr>
              <w:t>项目涉及的引镇街办枣姚村、鸣犊街办燎原村安置用地报批工作顺利推进。完成引镇街办枣姚村、鸣犊街办燎原村安置用地地质灾害评估并通过资规部门审核。</w:t>
            </w:r>
          </w:p>
          <w:p>
            <w:pPr>
              <w:pStyle w:val="null3"/>
            </w:pPr>
            <w:r>
              <w:rPr>
                <w:rFonts w:ascii="仿宋_GB2312" w:hAnsi="仿宋_GB2312" w:cs="仿宋_GB2312" w:eastAsia="仿宋_GB2312"/>
              </w:rPr>
              <w:t>第二条</w:t>
            </w:r>
            <w:r>
              <w:rPr>
                <w:rFonts w:ascii="仿宋_GB2312" w:hAnsi="仿宋_GB2312" w:cs="仿宋_GB2312" w:eastAsia="仿宋_GB2312"/>
              </w:rPr>
              <w:t>、</w:t>
            </w:r>
            <w:r>
              <w:rPr>
                <w:rFonts w:ascii="仿宋_GB2312" w:hAnsi="仿宋_GB2312" w:cs="仿宋_GB2312" w:eastAsia="仿宋_GB2312"/>
              </w:rPr>
              <w:t>工作内容</w:t>
            </w:r>
          </w:p>
          <w:p>
            <w:pPr>
              <w:pStyle w:val="null3"/>
              <w:ind w:firstLine="400"/>
            </w:pPr>
            <w:r>
              <w:rPr>
                <w:rFonts w:ascii="仿宋_GB2312" w:hAnsi="仿宋_GB2312" w:cs="仿宋_GB2312" w:eastAsia="仿宋_GB2312"/>
              </w:rPr>
              <w:t>本次评估工作的主要任务是在充分搜集利用已有地质、气象、水文资料的基础上，通过调查和分析研究拟建项目及影响范围内地质环境条件基本特征，查明建设场地地质灾害的种类、分布情况及其特征，分析研究地质灾害的形成机制和发生的原因，根据地质灾害发育程度和危害程度，对评估区内地质灾害危险性进行现状评估；对工程建设引发地质灾害及建设工程遭受地质灾害的危险性进行预测评估，进而对评估区域进行地质灾害危险性综合分区评估，并对建设用地适宜性进行评价，最后提出防治地质灾害的措施与建议。为建设工程地质灾害防治、土地审批等提供初步依据，保障工程建设及运营安全，从源头上减轻人为不合理工程活动引发地质灾害而造成的人员伤亡和财产损失。</w:t>
            </w:r>
          </w:p>
          <w:p>
            <w:pPr>
              <w:pStyle w:val="null3"/>
              <w:ind w:firstLine="400"/>
            </w:pPr>
            <w:r>
              <w:rPr>
                <w:rFonts w:ascii="仿宋_GB2312" w:hAnsi="仿宋_GB2312" w:cs="仿宋_GB2312" w:eastAsia="仿宋_GB2312"/>
              </w:rPr>
              <w:t>供应商须按照本项目需求配备相应的服务人员，确保本项目地质灾害评估方案按时编制完成。并出具评估报告，按照主管部门的有关规定通过专家评审及相关政府备案。</w:t>
            </w:r>
          </w:p>
          <w:p>
            <w:pPr>
              <w:pStyle w:val="null3"/>
              <w:jc w:val="both"/>
            </w:pPr>
            <w:r>
              <w:rPr>
                <w:rFonts w:ascii="仿宋_GB2312" w:hAnsi="仿宋_GB2312" w:cs="仿宋_GB2312" w:eastAsia="仿宋_GB2312"/>
                <w:sz w:val="21"/>
              </w:rPr>
              <w:t>第三条：服务周期：</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日历天。</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供应商须按照本项目需求配备相应的服务人员，确保本项目地质灾害评估方案按时编制完成。并出具评估报告，按照主管部门的有关规定通过专家评审及相关政府备案。</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协议签订生效后，支付预付款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待乙方完成地质灾害危险性评估报告送审稿编制并通过专家评审，将项目地质灾害危险性评估报告提交西安市自然资源和规划局长安区分局并完成相关政府备案后，达到付款条件起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1、如磋商文件中融资相关内容与新政策要求有出入，按照最新要求执行。 2、支付约定补充：甲方向乙方付款前，乙方需提供符合条件的等额增值税发票,因乙方迟延提供发票或提供发票不符合甲方要求的,甲方不承担迟延付款的责任。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供应商须具备地质灾害危险性评估甲级资质证书。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供应商拟派项目负责人应具有水文地质/地质环境工程高级及以上职称或相关专业高级及以上职称。</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符合磋商文件对服务期限的要求。</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符合“响应文件格式”的要求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报价唯一且不超过最高限价或预算</w:t>
            </w:r>
          </w:p>
        </w:tc>
        <w:tc>
          <w:tcPr>
            <w:tcW w:type="dxa" w:w="1661"/>
          </w:tcPr>
          <w:p>
            <w:pPr>
              <w:pStyle w:val="null3"/>
            </w:pPr>
            <w:r>
              <w:rPr>
                <w:rFonts w:ascii="仿宋_GB2312" w:hAnsi="仿宋_GB2312" w:cs="仿宋_GB2312" w:eastAsia="仿宋_GB2312"/>
              </w:rPr>
              <w:t>响应文件封面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对项目的理解及需求分析</w:t>
            </w:r>
          </w:p>
        </w:tc>
        <w:tc>
          <w:tcPr>
            <w:tcW w:type="dxa" w:w="2492"/>
          </w:tcPr>
          <w:p>
            <w:pPr>
              <w:pStyle w:val="null3"/>
            </w:pPr>
            <w:r>
              <w:rPr>
                <w:rFonts w:ascii="仿宋_GB2312" w:hAnsi="仿宋_GB2312" w:cs="仿宋_GB2312" w:eastAsia="仿宋_GB2312"/>
              </w:rPr>
              <w:t>一、评审内容 包括但不限于①对本项目背景和现状、需求的充分了解;②服务内容和需求的理解和把握；③对项目需求的重点和难点的分析进行评审。 二、评审标准 1、完整性：方案必须全面，对评审内容中的各项要求有详细描述。 2、针对性：方案能够紧扣项目实际情况，内容科学合理。 3、可实施性：切合本项目实际情况，提出步骤清晰、合理的方案。 三、赋分标准（满分10分） ①对本项目背景和现状、需求的充分了解：每完全满足一个评审标准得0-3分。 ②服务内容和需求的理解和把握：每完全满足一个评审标准得0-3分。 ③对项目需求的重点和难点的分析：每完全满足一个评审标准得0-4分。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针对本项目内容提出适用于本项目的整体服务方案，方案包括：①项目管理体系（包括项目管理目标、管理计划、风险分析）；②项目组织架构；③项目制度；④项目实施流程（包括服务方式的拟定与实施）。 二、评审标准 1、完整性：方案必须全面，对评审内容中的各项要求有详细描述。 2、针对性：方案能够紧扣项目实际情况，内容科学合理。 3、可实施性：切合本项目实际情况，提出步骤清晰、合理的方案。 三、赋分标准（满分16分） ①项目管理体系（包括项目管理目标、管理计划、风险分析）：每完全满足一个评审标准得0-4分。 ②项目组织架构：每完全满足一个评审标准得0-4分。③项目制度：每完全满足一个评审标准得0-4分。④项目实施流程（包括服务方式的拟定与实施）：每完全满足一个评审标准得0-4分。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针对本项目内容提出适用于本项目的保障措施，方案包括： ①服务质量保证措施；②出现突发状况或问题后的补救措施；③确保安全作业的保障措施；④项目实施进度保障措施。 二、评审标准 1、完整性：措施全面，对评审内容中的各项要求有详细描述。 2、针对性：相关措施能够紧扣项目实际情况，内容科学合理。 3、可实施性：切合本项目实际情况，提出步骤清晰、合理的保障措施。 三、赋分标准（满分16分） ①服务质量保证措施：每完全满足一个评审标准得0-4分。 ②出现突发状况或问题后的补救措施：每完全满足一个评审标准得0-4分。 ③确保安全作业的保障措施：每完全满足一个评审标准得0-4分。 ④项目实施进度保障措施：每完全满足一个评审标准得0-4分。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拟投入人员</w:t>
            </w:r>
          </w:p>
        </w:tc>
        <w:tc>
          <w:tcPr>
            <w:tcW w:type="dxa" w:w="2492"/>
          </w:tcPr>
          <w:p>
            <w:pPr>
              <w:pStyle w:val="null3"/>
            </w:pPr>
            <w:r>
              <w:rPr>
                <w:rFonts w:ascii="仿宋_GB2312" w:hAnsi="仿宋_GB2312" w:cs="仿宋_GB2312" w:eastAsia="仿宋_GB2312"/>
              </w:rPr>
              <w:t>1、拟派本项目技术负责人具有工程地质专业或水文地质专业或环境地质专业或岩土工程专业高级职称（或同等及以上资质）得3分；中级职称得1分。 2、项目组成人员（除项目负责人及技术负责人外）每具有一名高级职称得1分，每具有一个中级职称得0.5分，本项最高得5分。 3、人员组织架构（5分） 3.1人员组织架构完整，岗位设置合理、明确，技术人员专业性、经验性强，且对本项目有针对性，得5分； 3.2人员组织架构完善程度一般，岗位设置合理，技术人员专业性、经验性较强，得3分； 3.3人员组织架构有待优化，技术人员岗位设置基本合理，人员专业性、经验性一般，得1分；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针对本项目内容提出适用于本项目的服务承诺，包括： ①对本项目质量、项目实施进度、后期服务等方面做出承诺； ②对服务时限内团队稳定性做出承诺； ③对人员到位情况、人员安全等方面做出承诺； ④对服务期内服务质量一致性等相关内容做出承诺。 二、评审标准 1、完整性：承诺必须全面，对评审内容中的各项要求有详细描述。 2、针对性：承诺能够紧扣项目实际情况，内容科学合理。 3、可实施性：切合本项目实际情况，提出合理的承诺内容。 三、赋分标准（满分16分） ①对本项目质量、项目实施进度、后期服务等方面做出承诺：每完全满足一个评审标准得0-4分。 ②对服务时限内团队稳定性做出承诺：每完全满足一个评审标准得0-4分。 ③对人员到位情况、人员安全等方面做出承诺：每完全满足一个评审标准得0-4分。 ④对服务期内服务质量一致性等相关内容做出承诺：每完全满足一个评审标准得0-4分。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拟投入的设备</w:t>
            </w:r>
          </w:p>
        </w:tc>
        <w:tc>
          <w:tcPr>
            <w:tcW w:type="dxa" w:w="2492"/>
          </w:tcPr>
          <w:p>
            <w:pPr>
              <w:pStyle w:val="null3"/>
            </w:pPr>
            <w:r>
              <w:rPr>
                <w:rFonts w:ascii="仿宋_GB2312" w:hAnsi="仿宋_GB2312" w:cs="仿宋_GB2312" w:eastAsia="仿宋_GB2312"/>
              </w:rPr>
              <w:t>针对本项目拟投入的相关设备种类、数量配置，能满足地质灾害危险性评估工作要求得2分；相关设备种类及数量基本满足工作要求得1分；内容与本项目无关或未提供的得0分。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针对本项目内容提出适用于本项目的合理化建议。相关合理化建议全面得2分；相关合理化建议存在不合理处的得0.5分；内容与本项目无关或未提供的得0分。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以供应商近年（2022年1月1日以来）同类业绩计算，每提供一个得5分，满分15分。 注：以供应商加盖公章的业绩合同或中标（成交）通知书或相关证明材料复印件或扫描件为准，时间以签署日期为准。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各供应商的报价不得超过最高限价总价及各分项限价单价，否则视为无效报价，不再参与价格评审。 满足磋商文件要求且最后总报价最低的供应商的价格为磋商基准价，其价格分为满分。其他供应商的价格分统一按照下列公式计算：磋商报价得分=（磋商基准价/最后磋商报价）×10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详见附件：地质灾害评估—委托协议.docx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