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版本号：JC2025-CG0502(009)20250624001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西安市长安区河道管理范围划界工作实施方案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JC2025-CG0502(009)</w:t>
      </w:r>
      <w:r>
        <w:br/>
      </w:r>
      <w:r>
        <w:br/>
      </w:r>
      <w:r>
        <w:br/>
      </w:r>
    </w:p>
    <w:p>
      <w:pPr>
        <w:pStyle w:val="null3"/>
        <w:jc w:val="center"/>
        <w:outlineLvl w:val="2"/>
      </w:pPr>
      <w:r>
        <w:rPr>
          <w:rFonts w:ascii="仿宋_GB2312" w:hAnsi="仿宋_GB2312" w:cs="仿宋_GB2312" w:eastAsia="仿宋_GB2312"/>
          <w:sz w:val="28"/>
          <w:b/>
        </w:rPr>
        <w:t>西安市长安区水务局</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西安市长安区水务局</w:t>
      </w:r>
      <w:r>
        <w:rPr>
          <w:rFonts w:ascii="仿宋_GB2312" w:hAnsi="仿宋_GB2312" w:cs="仿宋_GB2312" w:eastAsia="仿宋_GB2312"/>
        </w:rPr>
        <w:t>委托，拟对</w:t>
      </w:r>
      <w:r>
        <w:rPr>
          <w:rFonts w:ascii="仿宋_GB2312" w:hAnsi="仿宋_GB2312" w:cs="仿宋_GB2312" w:eastAsia="仿宋_GB2312"/>
        </w:rPr>
        <w:t>西安市长安区河道管理范围划界工作实施方案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西安市长安区河道管理范围划界工作实施方案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西安市长安区河道管理范围划界工作共涉及沣河、潏河、滈河、浐河、库峪河、大峪河、高冠峪河、金沙河、天子峪河、见子河、太峪河11条河流约225公里。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 ：法定代表人直接参加磋商的，须出具法定代表人身份证明及身份证，法定代表人委托代理人参加磋商的，须出具法定代表人授权委托书及身份证；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8、供应商资质：供应商须具备工程勘察专业（工程测量）乙级及以上资质或测绘乙级及以上资质证书；</w:t>
      </w:r>
    </w:p>
    <w:p>
      <w:pPr>
        <w:pStyle w:val="null3"/>
      </w:pPr>
      <w:r>
        <w:rPr>
          <w:rFonts w:ascii="仿宋_GB2312" w:hAnsi="仿宋_GB2312" w:cs="仿宋_GB2312" w:eastAsia="仿宋_GB2312"/>
        </w:rPr>
        <w:t>9、拟派项目负责人：拟派项目负责人须具备水利相关专业或测绘类相关专业中级及以上技术职称；</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029-85292147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魏朝刚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采购包1：937,900.00元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以成交价作为基数，按照原《国家计委关于印发&lt;招标代理服务收费管理暂行办法&gt;的通知》（计价格[2002]1980号）及《国家发展改革委办公厅关于招标代理服务收费有关问题的通知》（发改价格[2003]857号）文件的通知标准进行计算。3.服务费可以采取银行转账或现金等方式缴纳。 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西安市长安区水务局</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成果文件提交后，成交人向采购人提出验收申请。2、由采购人、使用单位组织项目相关人员及专家按照磋商文件、投标（或响应）文件及磋商记录表、政府采购合同、技术指标及国家现行行业规范标准和文献资料进行验收，各项指标均应符合验收标准及要求。3、经采购人与供应商共同验收，并出具验收结果和意见，供应商负责向验收组提交验收所需文件和相关资料等，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联系人：魏朝刚</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西安市长安区河道管理范围划界工作共涉及沣河、潏河、滈河、浐河、库峪河、大峪河、高冠峪河、金沙河、天子峪河、见子河、太峪河11条河流约225公里。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937,900.00</w:t>
      </w:r>
    </w:p>
    <w:p>
      <w:pPr>
        <w:pStyle w:val="null3"/>
      </w:pPr>
      <w:r>
        <w:rPr>
          <w:rFonts w:ascii="仿宋_GB2312" w:hAnsi="仿宋_GB2312" w:cs="仿宋_GB2312" w:eastAsia="仿宋_GB2312"/>
        </w:rPr>
        <w:t>采购包最高限价（元）: 937,900.00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西安市长安区河道管理范围划界工作实施方案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937,900.00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标的名称：西安市长安区河道管理范围划界工作实施方案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sz w:val="20"/>
              </w:rPr>
              <w:t>1、项目概况：</w:t>
            </w:r>
          </w:p>
          <w:p>
            <w:pPr>
              <w:pStyle w:val="null3"/>
            </w:pPr>
            <w:r>
              <w:rPr>
                <w:rFonts w:ascii="仿宋_GB2312" w:hAnsi="仿宋_GB2312" w:cs="仿宋_GB2312" w:eastAsia="仿宋_GB2312"/>
                <w:sz w:val="20"/>
              </w:rPr>
              <w:t>西安市长安区河道管理范围划界工作共涉及沣河、潏河、滈河、浐河、库峪河、大峪河、高冠峪河、金沙河、天子峪河、见子河、太峪河</w:t>
            </w:r>
            <w:r>
              <w:rPr>
                <w:rFonts w:ascii="仿宋_GB2312" w:hAnsi="仿宋_GB2312" w:cs="仿宋_GB2312" w:eastAsia="仿宋_GB2312"/>
                <w:sz w:val="20"/>
              </w:rPr>
              <w:t>11</w:t>
            </w:r>
            <w:r>
              <w:rPr>
                <w:rFonts w:ascii="仿宋_GB2312" w:hAnsi="仿宋_GB2312" w:cs="仿宋_GB2312" w:eastAsia="仿宋_GB2312"/>
                <w:sz w:val="20"/>
              </w:rPr>
              <w:t>条河流约</w:t>
            </w:r>
            <w:r>
              <w:rPr>
                <w:rFonts w:ascii="仿宋_GB2312" w:hAnsi="仿宋_GB2312" w:cs="仿宋_GB2312" w:eastAsia="仿宋_GB2312"/>
                <w:sz w:val="20"/>
              </w:rPr>
              <w:t>225</w:t>
            </w:r>
            <w:r>
              <w:rPr>
                <w:rFonts w:ascii="仿宋_GB2312" w:hAnsi="仿宋_GB2312" w:cs="仿宋_GB2312" w:eastAsia="仿宋_GB2312"/>
                <w:sz w:val="20"/>
              </w:rPr>
              <w:t>公里。</w:t>
            </w:r>
          </w:p>
          <w:p>
            <w:pPr>
              <w:pStyle w:val="null3"/>
            </w:pPr>
            <w:r>
              <w:rPr>
                <w:rFonts w:ascii="仿宋_GB2312" w:hAnsi="仿宋_GB2312" w:cs="仿宋_GB2312" w:eastAsia="仿宋_GB2312"/>
                <w:sz w:val="20"/>
              </w:rPr>
              <w:t>2、</w:t>
            </w:r>
            <w:r>
              <w:rPr>
                <w:rFonts w:ascii="仿宋_GB2312" w:hAnsi="仿宋_GB2312" w:cs="仿宋_GB2312" w:eastAsia="仿宋_GB2312"/>
                <w:sz w:val="20"/>
              </w:rPr>
              <w:t>工作任务：</w:t>
            </w:r>
          </w:p>
          <w:p>
            <w:pPr>
              <w:pStyle w:val="null3"/>
            </w:pPr>
            <w:r>
              <w:rPr>
                <w:rFonts w:ascii="仿宋_GB2312" w:hAnsi="仿宋_GB2312" w:cs="仿宋_GB2312" w:eastAsia="仿宋_GB2312"/>
                <w:sz w:val="20"/>
              </w:rPr>
              <w:t>（1）</w:t>
            </w:r>
            <w:r>
              <w:rPr>
                <w:rFonts w:ascii="仿宋_GB2312" w:hAnsi="仿宋_GB2312" w:cs="仿宋_GB2312" w:eastAsia="仿宋_GB2312"/>
                <w:sz w:val="20"/>
              </w:rPr>
              <w:t>编制实施方案：编制《西安市长安区河道管理范围划界工作实施方案》，明确本次划界工作的指导思想、基本原则、划界依据和标准、主要任务及实施安排、经费测算、责任分工及保障措施等，指导划界工作的顺利实施。</w:t>
            </w:r>
          </w:p>
          <w:p>
            <w:pPr>
              <w:pStyle w:val="null3"/>
            </w:pPr>
            <w:r>
              <w:rPr>
                <w:rFonts w:ascii="仿宋_GB2312" w:hAnsi="仿宋_GB2312" w:cs="仿宋_GB2312" w:eastAsia="仿宋_GB2312"/>
                <w:sz w:val="20"/>
              </w:rPr>
              <w:t>（2）</w:t>
            </w:r>
            <w:r>
              <w:rPr>
                <w:rFonts w:ascii="仿宋_GB2312" w:hAnsi="仿宋_GB2312" w:cs="仿宋_GB2312" w:eastAsia="仿宋_GB2312"/>
                <w:sz w:val="20"/>
              </w:rPr>
              <w:t>基础测绘工作：完成天子峪、见子河、太峪河、金沙河等基础测绘工作，控制测量和</w:t>
            </w:r>
            <w:r>
              <w:rPr>
                <w:rFonts w:ascii="仿宋_GB2312" w:hAnsi="仿宋_GB2312" w:cs="仿宋_GB2312" w:eastAsia="仿宋_GB2312"/>
                <w:sz w:val="20"/>
              </w:rPr>
              <w:t>1:2000</w:t>
            </w:r>
            <w:r>
              <w:rPr>
                <w:rFonts w:ascii="仿宋_GB2312" w:hAnsi="仿宋_GB2312" w:cs="仿宋_GB2312" w:eastAsia="仿宋_GB2312"/>
                <w:sz w:val="20"/>
              </w:rPr>
              <w:t>地形图测绘。</w:t>
            </w:r>
          </w:p>
          <w:p>
            <w:pPr>
              <w:pStyle w:val="null3"/>
            </w:pPr>
            <w:r>
              <w:rPr>
                <w:rFonts w:ascii="仿宋_GB2312" w:hAnsi="仿宋_GB2312" w:cs="仿宋_GB2312" w:eastAsia="仿宋_GB2312"/>
                <w:sz w:val="20"/>
              </w:rPr>
              <w:t>（3）</w:t>
            </w:r>
            <w:r>
              <w:rPr>
                <w:rFonts w:ascii="仿宋_GB2312" w:hAnsi="仿宋_GB2312" w:cs="仿宋_GB2312" w:eastAsia="仿宋_GB2312"/>
                <w:sz w:val="20"/>
              </w:rPr>
              <w:t>河道及水利工程管理和保护范围划定工作：依据相关法律法规、政策文件和技术标准，划定、补充完善长安区河道管理范围与保护范围。</w:t>
            </w:r>
          </w:p>
          <w:p>
            <w:pPr>
              <w:pStyle w:val="null3"/>
            </w:pPr>
            <w:r>
              <w:rPr>
                <w:rFonts w:ascii="仿宋_GB2312" w:hAnsi="仿宋_GB2312" w:cs="仿宋_GB2312" w:eastAsia="仿宋_GB2312"/>
                <w:sz w:val="20"/>
              </w:rPr>
              <w:t>（4）管理和保护范围线的划定：依据相关法律法规和技术标准对天子峪、见子河、太峪河、金沙河等水文站监测河段和监测设施的管理范围及保护范围按照有河堤、无河堤等情况进行划定，以及在管理范围线上设置界桩、公告牌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）数据信息化：对长安区河道管理范围划界工作范围涉及的划界数据处理和入库等。</w:t>
            </w:r>
          </w:p>
          <w:p>
            <w:pPr>
              <w:pStyle w:val="null3"/>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）天子峪、见子河、太峪河、金沙河河道管理范围内建构筑物权籍调查：调查河道管理范围内建筑物（房屋、桥梁等）的结构形式、权属等。</w:t>
            </w:r>
          </w:p>
          <w:p>
            <w:pPr>
              <w:pStyle w:val="null3"/>
            </w:pPr>
            <w:r>
              <w:rPr>
                <w:rFonts w:ascii="仿宋_GB2312" w:hAnsi="仿宋_GB2312" w:cs="仿宋_GB2312" w:eastAsia="仿宋_GB2312"/>
                <w:sz w:val="20"/>
              </w:rPr>
              <w:t>3</w:t>
            </w:r>
            <w:r>
              <w:rPr>
                <w:rFonts w:ascii="仿宋_GB2312" w:hAnsi="仿宋_GB2312" w:cs="仿宋_GB2312" w:eastAsia="仿宋_GB2312"/>
                <w:sz w:val="20"/>
              </w:rPr>
              <w:t>、划界标准要求：</w:t>
            </w:r>
          </w:p>
          <w:p>
            <w:pPr>
              <w:pStyle w:val="null3"/>
              <w:jc w:val="left"/>
            </w:pPr>
            <w:r>
              <w:rPr>
                <w:rFonts w:ascii="仿宋_GB2312" w:hAnsi="仿宋_GB2312" w:cs="仿宋_GB2312" w:eastAsia="仿宋_GB2312"/>
                <w:sz w:val="20"/>
              </w:rPr>
              <w:t>依据陕西省《河湖和水利工程管理范围及保护范围划界技术规范》</w:t>
            </w:r>
            <w:r>
              <w:rPr>
                <w:rFonts w:ascii="仿宋_GB2312" w:hAnsi="仿宋_GB2312" w:cs="仿宋_GB2312" w:eastAsia="仿宋_GB2312"/>
                <w:sz w:val="20"/>
              </w:rPr>
              <w:t>(DB61/T 1418-2021)</w:t>
            </w:r>
            <w:r>
              <w:rPr>
                <w:rFonts w:ascii="仿宋_GB2312" w:hAnsi="仿宋_GB2312" w:cs="仿宋_GB2312" w:eastAsia="仿宋_GB2312"/>
                <w:sz w:val="20"/>
              </w:rPr>
              <w:t>等相关规定确定。</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）水文监测河段保护范围：沿河纵向水文监测基本断面上下游各不少于</w:t>
            </w:r>
            <w:r>
              <w:rPr>
                <w:rFonts w:ascii="仿宋_GB2312" w:hAnsi="仿宋_GB2312" w:cs="仿宋_GB2312" w:eastAsia="仿宋_GB2312"/>
                <w:sz w:val="20"/>
              </w:rPr>
              <w:t>500</w:t>
            </w:r>
            <w:r>
              <w:rPr>
                <w:rFonts w:ascii="仿宋_GB2312" w:hAnsi="仿宋_GB2312" w:cs="仿宋_GB2312" w:eastAsia="仿宋_GB2312"/>
                <w:sz w:val="20"/>
              </w:rPr>
              <w:t>米之间的区域；沿河横向有堤防的河段为两河堤之间、无堤防的河段以两岸水文监测设施建筑</w:t>
            </w:r>
            <w:r>
              <w:rPr>
                <w:rFonts w:ascii="仿宋_GB2312" w:hAnsi="仿宋_GB2312" w:cs="仿宋_GB2312" w:eastAsia="仿宋_GB2312"/>
                <w:sz w:val="20"/>
              </w:rPr>
              <w:t>物</w:t>
            </w:r>
            <w:r>
              <w:rPr>
                <w:rFonts w:ascii="仿宋_GB2312" w:hAnsi="仿宋_GB2312" w:cs="仿宋_GB2312" w:eastAsia="仿宋_GB2312"/>
                <w:sz w:val="20"/>
              </w:rPr>
              <w:t>(</w:t>
            </w:r>
            <w:r>
              <w:rPr>
                <w:rFonts w:ascii="仿宋_GB2312" w:hAnsi="仿宋_GB2312" w:cs="仿宋_GB2312" w:eastAsia="仿宋_GB2312"/>
                <w:sz w:val="20"/>
              </w:rPr>
              <w:t>构筑物</w:t>
            </w:r>
            <w:r>
              <w:rPr>
                <w:rFonts w:ascii="仿宋_GB2312" w:hAnsi="仿宋_GB2312" w:cs="仿宋_GB2312" w:eastAsia="仿宋_GB2312"/>
                <w:sz w:val="20"/>
              </w:rPr>
              <w:t>)</w:t>
            </w:r>
            <w:r>
              <w:rPr>
                <w:rFonts w:ascii="仿宋_GB2312" w:hAnsi="仿宋_GB2312" w:cs="仿宋_GB2312" w:eastAsia="仿宋_GB2312"/>
                <w:sz w:val="20"/>
              </w:rPr>
              <w:t>外</w:t>
            </w:r>
            <w:r>
              <w:rPr>
                <w:rFonts w:ascii="仿宋_GB2312" w:hAnsi="仿宋_GB2312" w:cs="仿宋_GB2312" w:eastAsia="仿宋_GB2312"/>
                <w:sz w:val="20"/>
              </w:rPr>
              <w:t>20</w:t>
            </w:r>
            <w:r>
              <w:rPr>
                <w:rFonts w:ascii="仿宋_GB2312" w:hAnsi="仿宋_GB2312" w:cs="仿宋_GB2312" w:eastAsia="仿宋_GB2312"/>
                <w:sz w:val="20"/>
              </w:rPr>
              <w:t>米为界之间的区域。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水文监测设施：水文监测设施包括站房、缆道、测船、测船码头、监测场地、监测井</w:t>
            </w:r>
            <w:r>
              <w:rPr>
                <w:rFonts w:ascii="仿宋_GB2312" w:hAnsi="仿宋_GB2312" w:cs="仿宋_GB2312" w:eastAsia="仿宋_GB2312"/>
                <w:sz w:val="20"/>
              </w:rPr>
              <w:t>(</w:t>
            </w:r>
            <w:r>
              <w:rPr>
                <w:rFonts w:ascii="仿宋_GB2312" w:hAnsi="仿宋_GB2312" w:cs="仿宋_GB2312" w:eastAsia="仿宋_GB2312"/>
                <w:sz w:val="20"/>
              </w:rPr>
              <w:t>台</w:t>
            </w:r>
            <w:r>
              <w:rPr>
                <w:rFonts w:ascii="仿宋_GB2312" w:hAnsi="仿宋_GB2312" w:cs="仿宋_GB2312" w:eastAsia="仿宋_GB2312"/>
                <w:sz w:val="20"/>
              </w:rPr>
              <w:t>)</w:t>
            </w:r>
            <w:r>
              <w:rPr>
                <w:rFonts w:ascii="仿宋_GB2312" w:hAnsi="仿宋_GB2312" w:cs="仿宋_GB2312" w:eastAsia="仿宋_GB2312"/>
                <w:sz w:val="20"/>
              </w:rPr>
              <w:t>、水尺</w:t>
            </w:r>
            <w:r>
              <w:rPr>
                <w:rFonts w:ascii="仿宋_GB2312" w:hAnsi="仿宋_GB2312" w:cs="仿宋_GB2312" w:eastAsia="仿宋_GB2312"/>
                <w:sz w:val="20"/>
              </w:rPr>
              <w:t>(</w:t>
            </w:r>
            <w:r>
              <w:rPr>
                <w:rFonts w:ascii="仿宋_GB2312" w:hAnsi="仿宋_GB2312" w:cs="仿宋_GB2312" w:eastAsia="仿宋_GB2312"/>
                <w:sz w:val="20"/>
              </w:rPr>
              <w:t>桩</w:t>
            </w:r>
            <w:r>
              <w:rPr>
                <w:rFonts w:ascii="仿宋_GB2312" w:hAnsi="仿宋_GB2312" w:cs="仿宋_GB2312" w:eastAsia="仿宋_GB2312"/>
                <w:sz w:val="20"/>
              </w:rPr>
              <w:t>)</w:t>
            </w:r>
            <w:r>
              <w:rPr>
                <w:rFonts w:ascii="仿宋_GB2312" w:hAnsi="仿宋_GB2312" w:cs="仿宋_GB2312" w:eastAsia="仿宋_GB2312"/>
                <w:sz w:val="20"/>
              </w:rPr>
              <w:t>、监测标志、专用道路、仪器设备、水文通信设施以及附属设施等。管理范围以监测场地围墙或外边界线以内区域；保护范围以监测场地周围</w:t>
            </w:r>
            <w:r>
              <w:rPr>
                <w:rFonts w:ascii="仿宋_GB2312" w:hAnsi="仿宋_GB2312" w:cs="仿宋_GB2312" w:eastAsia="仿宋_GB2312"/>
                <w:sz w:val="20"/>
              </w:rPr>
              <w:t>30</w:t>
            </w:r>
            <w:r>
              <w:rPr>
                <w:rFonts w:ascii="仿宋_GB2312" w:hAnsi="仿宋_GB2312" w:cs="仿宋_GB2312" w:eastAsia="仿宋_GB2312"/>
                <w:sz w:val="20"/>
              </w:rPr>
              <w:t>米区域或其他监测设施周围</w:t>
            </w:r>
            <w:r>
              <w:rPr>
                <w:rFonts w:ascii="仿宋_GB2312" w:hAnsi="仿宋_GB2312" w:cs="仿宋_GB2312" w:eastAsia="仿宋_GB2312"/>
                <w:sz w:val="20"/>
              </w:rPr>
              <w:t>20</w:t>
            </w:r>
            <w:r>
              <w:rPr>
                <w:rFonts w:ascii="仿宋_GB2312" w:hAnsi="仿宋_GB2312" w:cs="仿宋_GB2312" w:eastAsia="仿宋_GB2312"/>
                <w:sz w:val="20"/>
              </w:rPr>
              <w:t>米为边界。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若水文监测设施与河湖管理范围、保护范围出现交叉时，宜优先划定水文监测设施管理范围及保护范围。</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sz w:val="20"/>
              </w:rPr>
              <w:t>技术标准</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）《防洪标准》（</w:t>
            </w:r>
            <w:r>
              <w:rPr>
                <w:rFonts w:ascii="仿宋_GB2312" w:hAnsi="仿宋_GB2312" w:cs="仿宋_GB2312" w:eastAsia="仿宋_GB2312"/>
                <w:sz w:val="20"/>
              </w:rPr>
              <w:t>GB50201-2014</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）《堤防工程设计规范》（</w:t>
            </w:r>
            <w:r>
              <w:rPr>
                <w:rFonts w:ascii="仿宋_GB2312" w:hAnsi="仿宋_GB2312" w:cs="仿宋_GB2312" w:eastAsia="仿宋_GB2312"/>
                <w:sz w:val="20"/>
              </w:rPr>
              <w:t>GB50286-2013</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）《河道整治设计规范》（</w:t>
            </w:r>
            <w:r>
              <w:rPr>
                <w:rFonts w:ascii="仿宋_GB2312" w:hAnsi="仿宋_GB2312" w:cs="仿宋_GB2312" w:eastAsia="仿宋_GB2312"/>
                <w:sz w:val="20"/>
              </w:rPr>
              <w:t>GB 50707-2011</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）《土地利用现状分类》（</w:t>
            </w:r>
            <w:r>
              <w:rPr>
                <w:rFonts w:ascii="仿宋_GB2312" w:hAnsi="仿宋_GB2312" w:cs="仿宋_GB2312" w:eastAsia="仿宋_GB2312"/>
                <w:sz w:val="20"/>
              </w:rPr>
              <w:t>GB/T 21010-2017</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）《全球导航卫星系统</w:t>
            </w:r>
            <w:r>
              <w:rPr>
                <w:rFonts w:ascii="仿宋_GB2312" w:hAnsi="仿宋_GB2312" w:cs="仿宋_GB2312" w:eastAsia="仿宋_GB2312"/>
                <w:sz w:val="20"/>
              </w:rPr>
              <w:t>(GNSS)</w:t>
            </w:r>
            <w:r>
              <w:rPr>
                <w:rFonts w:ascii="仿宋_GB2312" w:hAnsi="仿宋_GB2312" w:cs="仿宋_GB2312" w:eastAsia="仿宋_GB2312"/>
                <w:sz w:val="20"/>
              </w:rPr>
              <w:t>测量规范》（</w:t>
            </w:r>
            <w:r>
              <w:rPr>
                <w:rFonts w:ascii="仿宋_GB2312" w:hAnsi="仿宋_GB2312" w:cs="仿宋_GB2312" w:eastAsia="仿宋_GB2312"/>
                <w:sz w:val="20"/>
              </w:rPr>
              <w:t>GB/T18314-2024</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1:500</w:t>
            </w:r>
            <w:r>
              <w:rPr>
                <w:rFonts w:ascii="仿宋_GB2312" w:hAnsi="仿宋_GB2312" w:cs="仿宋_GB2312" w:eastAsia="仿宋_GB2312"/>
                <w:sz w:val="20"/>
              </w:rPr>
              <w:t>、</w:t>
            </w:r>
            <w:r>
              <w:rPr>
                <w:rFonts w:ascii="仿宋_GB2312" w:hAnsi="仿宋_GB2312" w:cs="仿宋_GB2312" w:eastAsia="仿宋_GB2312"/>
                <w:sz w:val="20"/>
              </w:rPr>
              <w:t>1:1000</w:t>
            </w:r>
            <w:r>
              <w:rPr>
                <w:rFonts w:ascii="仿宋_GB2312" w:hAnsi="仿宋_GB2312" w:cs="仿宋_GB2312" w:eastAsia="仿宋_GB2312"/>
                <w:sz w:val="20"/>
              </w:rPr>
              <w:t>、</w:t>
            </w:r>
            <w:r>
              <w:rPr>
                <w:rFonts w:ascii="仿宋_GB2312" w:hAnsi="仿宋_GB2312" w:cs="仿宋_GB2312" w:eastAsia="仿宋_GB2312"/>
                <w:sz w:val="20"/>
              </w:rPr>
              <w:t>1:2000</w:t>
            </w:r>
            <w:r>
              <w:rPr>
                <w:rFonts w:ascii="仿宋_GB2312" w:hAnsi="仿宋_GB2312" w:cs="仿宋_GB2312" w:eastAsia="仿宋_GB2312"/>
                <w:sz w:val="20"/>
              </w:rPr>
              <w:t>比例尺地形图航空摄影测量数字化测图规范》（</w:t>
            </w:r>
            <w:r>
              <w:rPr>
                <w:rFonts w:ascii="仿宋_GB2312" w:hAnsi="仿宋_GB2312" w:cs="仿宋_GB2312" w:eastAsia="仿宋_GB2312"/>
                <w:sz w:val="20"/>
              </w:rPr>
              <w:t>GB 15967-2008</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）《国家基本比例尺地形图图式第</w:t>
            </w:r>
            <w:r>
              <w:rPr>
                <w:rFonts w:ascii="仿宋_GB2312" w:hAnsi="仿宋_GB2312" w:cs="仿宋_GB2312" w:eastAsia="仿宋_GB2312"/>
                <w:sz w:val="20"/>
              </w:rPr>
              <w:t>1</w:t>
            </w:r>
            <w:r>
              <w:rPr>
                <w:rFonts w:ascii="仿宋_GB2312" w:hAnsi="仿宋_GB2312" w:cs="仿宋_GB2312" w:eastAsia="仿宋_GB2312"/>
                <w:sz w:val="20"/>
              </w:rPr>
              <w:t>部分：</w:t>
            </w:r>
            <w:r>
              <w:rPr>
                <w:rFonts w:ascii="仿宋_GB2312" w:hAnsi="仿宋_GB2312" w:cs="仿宋_GB2312" w:eastAsia="仿宋_GB2312"/>
                <w:sz w:val="20"/>
              </w:rPr>
              <w:t xml:space="preserve">1:500 1:1000 1:2000 </w:t>
            </w:r>
            <w:r>
              <w:rPr>
                <w:rFonts w:ascii="仿宋_GB2312" w:hAnsi="仿宋_GB2312" w:cs="仿宋_GB2312" w:eastAsia="仿宋_GB2312"/>
                <w:sz w:val="20"/>
              </w:rPr>
              <w:t>地形图图式》（</w:t>
            </w:r>
            <w:r>
              <w:rPr>
                <w:rFonts w:ascii="仿宋_GB2312" w:hAnsi="仿宋_GB2312" w:cs="仿宋_GB2312" w:eastAsia="仿宋_GB2312"/>
                <w:sz w:val="20"/>
              </w:rPr>
              <w:t>GB/T 20257.1-2017</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）《测绘成果质量检查与验收》（</w:t>
            </w:r>
            <w:r>
              <w:rPr>
                <w:rFonts w:ascii="仿宋_GB2312" w:hAnsi="仿宋_GB2312" w:cs="仿宋_GB2312" w:eastAsia="仿宋_GB2312"/>
                <w:sz w:val="20"/>
              </w:rPr>
              <w:t>GB/T 24356-2023</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）《数字航空摄影测量空中三角测量规范》（</w:t>
            </w:r>
            <w:r>
              <w:rPr>
                <w:rFonts w:ascii="仿宋_GB2312" w:hAnsi="仿宋_GB2312" w:cs="仿宋_GB2312" w:eastAsia="仿宋_GB2312"/>
                <w:sz w:val="20"/>
              </w:rPr>
              <w:t>GB/T23236-2009</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）《江河流域规划编制规程》（</w:t>
            </w:r>
            <w:r>
              <w:rPr>
                <w:rFonts w:ascii="仿宋_GB2312" w:hAnsi="仿宋_GB2312" w:cs="仿宋_GB2312" w:eastAsia="仿宋_GB2312"/>
                <w:sz w:val="20"/>
              </w:rPr>
              <w:t>SL201-2015</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）《堤防工程管理设计规范》（</w:t>
            </w:r>
            <w:r>
              <w:rPr>
                <w:rFonts w:ascii="仿宋_GB2312" w:hAnsi="仿宋_GB2312" w:cs="仿宋_GB2312" w:eastAsia="仿宋_GB2312"/>
                <w:sz w:val="20"/>
              </w:rPr>
              <w:t>SL/T 171-2020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）《水利水电工程设计洪水计算规范》（</w:t>
            </w:r>
            <w:r>
              <w:rPr>
                <w:rFonts w:ascii="仿宋_GB2312" w:hAnsi="仿宋_GB2312" w:cs="仿宋_GB2312" w:eastAsia="仿宋_GB2312"/>
                <w:sz w:val="20"/>
              </w:rPr>
              <w:t>SL 44-2006</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）《水利水电工程测量规范》（</w:t>
            </w:r>
            <w:r>
              <w:rPr>
                <w:rFonts w:ascii="仿宋_GB2312" w:hAnsi="仿宋_GB2312" w:cs="仿宋_GB2312" w:eastAsia="仿宋_GB2312"/>
                <w:sz w:val="20"/>
              </w:rPr>
              <w:t>SL 197-2013</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）《全球定位系统实时动态测量（</w:t>
            </w:r>
            <w:r>
              <w:rPr>
                <w:rFonts w:ascii="仿宋_GB2312" w:hAnsi="仿宋_GB2312" w:cs="仿宋_GB2312" w:eastAsia="仿宋_GB2312"/>
                <w:sz w:val="20"/>
              </w:rPr>
              <w:t>RTK</w:t>
            </w:r>
            <w:r>
              <w:rPr>
                <w:rFonts w:ascii="仿宋_GB2312" w:hAnsi="仿宋_GB2312" w:cs="仿宋_GB2312" w:eastAsia="仿宋_GB2312"/>
                <w:sz w:val="20"/>
              </w:rPr>
              <w:t>）技术规范》（</w:t>
            </w:r>
            <w:r>
              <w:rPr>
                <w:rFonts w:ascii="仿宋_GB2312" w:hAnsi="仿宋_GB2312" w:cs="仿宋_GB2312" w:eastAsia="仿宋_GB2312"/>
                <w:sz w:val="20"/>
              </w:rPr>
              <w:t>CH/T 2009-2010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）《低空数字航空摄影测量外业规范》（</w:t>
            </w:r>
            <w:r>
              <w:rPr>
                <w:rFonts w:ascii="仿宋_GB2312" w:hAnsi="仿宋_GB2312" w:cs="仿宋_GB2312" w:eastAsia="仿宋_GB2312"/>
                <w:sz w:val="20"/>
              </w:rPr>
              <w:t>CH/T 3004-2021</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）《低空数字航空摄影测量内业规范》（</w:t>
            </w:r>
            <w:r>
              <w:rPr>
                <w:rFonts w:ascii="仿宋_GB2312" w:hAnsi="仿宋_GB2312" w:cs="仿宋_GB2312" w:eastAsia="仿宋_GB2312"/>
                <w:sz w:val="20"/>
              </w:rPr>
              <w:t>CH/T 3003-2021</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17</w:t>
            </w:r>
            <w:r>
              <w:rPr>
                <w:rFonts w:ascii="仿宋_GB2312" w:hAnsi="仿宋_GB2312" w:cs="仿宋_GB2312" w:eastAsia="仿宋_GB2312"/>
                <w:sz w:val="20"/>
              </w:rPr>
              <w:t>）《低空数字航空摄影规范》（</w:t>
            </w:r>
            <w:r>
              <w:rPr>
                <w:rFonts w:ascii="仿宋_GB2312" w:hAnsi="仿宋_GB2312" w:cs="仿宋_GB2312" w:eastAsia="仿宋_GB2312"/>
                <w:sz w:val="20"/>
              </w:rPr>
              <w:t>CH/T 3005-2021</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18</w:t>
            </w:r>
            <w:r>
              <w:rPr>
                <w:rFonts w:ascii="仿宋_GB2312" w:hAnsi="仿宋_GB2312" w:cs="仿宋_GB2312" w:eastAsia="仿宋_GB2312"/>
                <w:sz w:val="20"/>
              </w:rPr>
              <w:t>）《基础地理信息数字成果</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500</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1000</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2000</w:t>
            </w:r>
            <w:r>
              <w:rPr>
                <w:rFonts w:ascii="仿宋_GB2312" w:hAnsi="仿宋_GB2312" w:cs="仿宋_GB2312" w:eastAsia="仿宋_GB2312"/>
                <w:sz w:val="20"/>
              </w:rPr>
              <w:t>数字线划图》（</w:t>
            </w:r>
            <w:r>
              <w:rPr>
                <w:rFonts w:ascii="仿宋_GB2312" w:hAnsi="仿宋_GB2312" w:cs="仿宋_GB2312" w:eastAsia="仿宋_GB2312"/>
                <w:sz w:val="20"/>
              </w:rPr>
              <w:t>CH/T 9008.1-2010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）《土地勘测定界规程》（</w:t>
            </w:r>
            <w:r>
              <w:rPr>
                <w:rFonts w:ascii="仿宋_GB2312" w:hAnsi="仿宋_GB2312" w:cs="仿宋_GB2312" w:eastAsia="仿宋_GB2312"/>
                <w:sz w:val="20"/>
              </w:rPr>
              <w:t>TDT1008-2007</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）《地籍调查规程》（</w:t>
            </w:r>
            <w:r>
              <w:rPr>
                <w:rFonts w:ascii="仿宋_GB2312" w:hAnsi="仿宋_GB2312" w:cs="仿宋_GB2312" w:eastAsia="仿宋_GB2312"/>
                <w:sz w:val="20"/>
              </w:rPr>
              <w:t>TD/T1001-2012</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）陕西省市场监督管理局《河湖和水利工程管理范围及保护范围划界技术规范》（</w:t>
            </w:r>
            <w:r>
              <w:rPr>
                <w:rFonts w:ascii="仿宋_GB2312" w:hAnsi="仿宋_GB2312" w:cs="仿宋_GB2312" w:eastAsia="仿宋_GB2312"/>
                <w:sz w:val="20"/>
              </w:rPr>
              <w:t>DB61/T 1418-2021</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22</w:t>
            </w:r>
            <w:r>
              <w:rPr>
                <w:rFonts w:ascii="仿宋_GB2312" w:hAnsi="仿宋_GB2312" w:cs="仿宋_GB2312" w:eastAsia="仿宋_GB2312"/>
                <w:sz w:val="20"/>
              </w:rPr>
              <w:t>）其它相关规程、规范及技术标准。</w:t>
            </w:r>
          </w:p>
          <w:p>
            <w:pPr>
              <w:pStyle w:val="null3"/>
            </w:pPr>
            <w:r>
              <w:rPr>
                <w:rFonts w:ascii="仿宋_GB2312" w:hAnsi="仿宋_GB2312" w:cs="仿宋_GB2312" w:eastAsia="仿宋_GB2312"/>
                <w:sz w:val="20"/>
              </w:rPr>
              <w:t>5</w:t>
            </w:r>
            <w:r>
              <w:rPr>
                <w:rFonts w:ascii="仿宋_GB2312" w:hAnsi="仿宋_GB2312" w:cs="仿宋_GB2312" w:eastAsia="仿宋_GB2312"/>
                <w:sz w:val="20"/>
              </w:rPr>
              <w:t>、成果资料：</w:t>
            </w:r>
          </w:p>
          <w:p>
            <w:pPr>
              <w:pStyle w:val="null3"/>
              <w:jc w:val="left"/>
            </w:pPr>
            <w:r>
              <w:rPr>
                <w:rFonts w:ascii="仿宋_GB2312" w:hAnsi="仿宋_GB2312" w:cs="仿宋_GB2312" w:eastAsia="仿宋_GB2312"/>
                <w:sz w:val="20"/>
              </w:rPr>
              <w:t>实施工作完成后，提交的资料包括：</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）控制点成果表、</w:t>
            </w:r>
            <w:r>
              <w:rPr>
                <w:rFonts w:ascii="仿宋_GB2312" w:hAnsi="仿宋_GB2312" w:cs="仿宋_GB2312" w:eastAsia="仿宋_GB2312"/>
                <w:sz w:val="20"/>
              </w:rPr>
              <w:t>E</w:t>
            </w:r>
            <w:r>
              <w:rPr>
                <w:rFonts w:ascii="仿宋_GB2312" w:hAnsi="仿宋_GB2312" w:cs="仿宋_GB2312" w:eastAsia="仿宋_GB2312"/>
                <w:sz w:val="20"/>
              </w:rPr>
              <w:t>级平面控制、高程平差计算及原始记录、</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2000</w:t>
            </w:r>
            <w:r>
              <w:rPr>
                <w:rFonts w:ascii="仿宋_GB2312" w:hAnsi="仿宋_GB2312" w:cs="仿宋_GB2312" w:eastAsia="仿宋_GB2312"/>
                <w:sz w:val="20"/>
              </w:rPr>
              <w:t>地形图。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）绘制水文站管理范围线、保护范围线的</w:t>
            </w:r>
            <w:r>
              <w:rPr>
                <w:rFonts w:ascii="仿宋_GB2312" w:hAnsi="仿宋_GB2312" w:cs="仿宋_GB2312" w:eastAsia="仿宋_GB2312"/>
                <w:sz w:val="20"/>
              </w:rPr>
              <w:t>1:2000</w:t>
            </w:r>
            <w:r>
              <w:rPr>
                <w:rFonts w:ascii="仿宋_GB2312" w:hAnsi="仿宋_GB2312" w:cs="仿宋_GB2312" w:eastAsia="仿宋_GB2312"/>
                <w:sz w:val="20"/>
              </w:rPr>
              <w:t>地形图。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）界桩、公告牌身份证。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）工作总结、审查报告。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）根据项目需要提供的其他资料。</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、其他未尽事宜按采购人及上级部门要求执行。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二、商务要求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、服务期：自合同签订之日起</w:t>
            </w:r>
            <w:r>
              <w:rPr>
                <w:rFonts w:ascii="仿宋_GB2312" w:hAnsi="仿宋_GB2312" w:cs="仿宋_GB2312" w:eastAsia="仿宋_GB2312"/>
                <w:sz w:val="20"/>
              </w:rPr>
              <w:t>90</w:t>
            </w:r>
            <w:r>
              <w:rPr>
                <w:rFonts w:ascii="仿宋_GB2312" w:hAnsi="仿宋_GB2312" w:cs="仿宋_GB2312" w:eastAsia="仿宋_GB2312"/>
                <w:sz w:val="20"/>
              </w:rPr>
              <w:t>日历天。</w:t>
            </w:r>
          </w:p>
          <w:p>
            <w:pPr>
              <w:pStyle w:val="null3"/>
            </w:pPr>
            <w:r>
              <w:rPr>
                <w:rFonts w:ascii="仿宋_GB2312" w:hAnsi="仿宋_GB2312" w:cs="仿宋_GB2312" w:eastAsia="仿宋_GB2312"/>
                <w:sz w:val="20"/>
              </w:rPr>
              <w:t>2</w:t>
            </w:r>
            <w:r>
              <w:rPr>
                <w:rFonts w:ascii="仿宋_GB2312" w:hAnsi="仿宋_GB2312" w:cs="仿宋_GB2312" w:eastAsia="仿宋_GB2312"/>
                <w:sz w:val="20"/>
              </w:rPr>
              <w:t>、服务地点：采购人指定地点。</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服务范围：沣河、潏河、滈河、浐河、库峪河、大峪河、高冠峪河、金沙河、天子峪河、见子河、太峪河共</w:t>
            </w:r>
            <w:r>
              <w:rPr>
                <w:rFonts w:ascii="仿宋_GB2312" w:hAnsi="仿宋_GB2312" w:cs="仿宋_GB2312" w:eastAsia="仿宋_GB2312"/>
                <w:sz w:val="20"/>
              </w:rPr>
              <w:t>11</w:t>
            </w:r>
            <w:r>
              <w:rPr>
                <w:rFonts w:ascii="仿宋_GB2312" w:hAnsi="仿宋_GB2312" w:cs="仿宋_GB2312" w:eastAsia="仿宋_GB2312"/>
                <w:sz w:val="20"/>
              </w:rPr>
              <w:t>条河流约</w:t>
            </w:r>
            <w:r>
              <w:rPr>
                <w:rFonts w:ascii="仿宋_GB2312" w:hAnsi="仿宋_GB2312" w:cs="仿宋_GB2312" w:eastAsia="仿宋_GB2312"/>
                <w:sz w:val="20"/>
              </w:rPr>
              <w:t>225</w:t>
            </w:r>
            <w:r>
              <w:rPr>
                <w:rFonts w:ascii="仿宋_GB2312" w:hAnsi="仿宋_GB2312" w:cs="仿宋_GB2312" w:eastAsia="仿宋_GB2312"/>
                <w:sz w:val="20"/>
              </w:rPr>
              <w:t>公里。</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服务质量：符合国家现行规范及行业标准。</w:t>
            </w:r>
          </w:p>
          <w:p>
            <w:pPr>
              <w:pStyle w:val="null3"/>
            </w:pPr>
            <w:r>
              <w:rPr>
                <w:rFonts w:ascii="仿宋_GB2312" w:hAnsi="仿宋_GB2312" w:cs="仿宋_GB2312" w:eastAsia="仿宋_GB2312"/>
                <w:sz w:val="20"/>
              </w:rPr>
              <w:t>5</w:t>
            </w:r>
            <w:r>
              <w:rPr>
                <w:rFonts w:ascii="仿宋_GB2312" w:hAnsi="仿宋_GB2312" w:cs="仿宋_GB2312" w:eastAsia="仿宋_GB2312"/>
                <w:sz w:val="20"/>
              </w:rPr>
              <w:t>、付款方式：（</w:t>
            </w:r>
            <w:r>
              <w:rPr>
                <w:rFonts w:ascii="仿宋_GB2312" w:hAnsi="仿宋_GB2312" w:cs="仿宋_GB2312" w:eastAsia="仿宋_GB2312"/>
                <w:sz w:val="20"/>
              </w:rPr>
              <w:t>1</w:t>
            </w:r>
            <w:r>
              <w:rPr>
                <w:rFonts w:ascii="仿宋_GB2312" w:hAnsi="仿宋_GB2312" w:cs="仿宋_GB2312" w:eastAsia="仿宋_GB2312"/>
                <w:sz w:val="20"/>
              </w:rPr>
              <w:t>）服务期满，提交经采购人认可的成果文件后，支付合同总价款的</w:t>
            </w:r>
            <w:r>
              <w:rPr>
                <w:rFonts w:ascii="仿宋_GB2312" w:hAnsi="仿宋_GB2312" w:cs="仿宋_GB2312" w:eastAsia="仿宋_GB2312"/>
                <w:sz w:val="20"/>
              </w:rPr>
              <w:t>80%</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）经验收合格无质量问题后，</w:t>
            </w:r>
            <w:r>
              <w:rPr>
                <w:rFonts w:ascii="仿宋_GB2312" w:hAnsi="仿宋_GB2312" w:cs="仿宋_GB2312" w:eastAsia="仿宋_GB2312"/>
                <w:sz w:val="20"/>
              </w:rPr>
              <w:t>30</w:t>
            </w:r>
            <w:r>
              <w:rPr>
                <w:rFonts w:ascii="仿宋_GB2312" w:hAnsi="仿宋_GB2312" w:cs="仿宋_GB2312" w:eastAsia="仿宋_GB2312"/>
                <w:sz w:val="20"/>
              </w:rPr>
              <w:t>日内支付合同尾款</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）每期付款时供应商提供等额发票申请款项。（</w:t>
            </w:r>
            <w:r>
              <w:rPr>
                <w:rFonts w:ascii="仿宋_GB2312" w:hAnsi="仿宋_GB2312" w:cs="仿宋_GB2312" w:eastAsia="仿宋_GB2312"/>
                <w:sz w:val="20"/>
              </w:rPr>
              <w:t>4</w:t>
            </w:r>
            <w:r>
              <w:rPr>
                <w:rFonts w:ascii="仿宋_GB2312" w:hAnsi="仿宋_GB2312" w:cs="仿宋_GB2312" w:eastAsia="仿宋_GB2312"/>
                <w:sz w:val="20"/>
              </w:rPr>
              <w:t>）支付方式：银行转账（</w:t>
            </w:r>
            <w:r>
              <w:rPr>
                <w:rFonts w:ascii="仿宋_GB2312" w:hAnsi="仿宋_GB2312" w:cs="仿宋_GB2312" w:eastAsia="仿宋_GB2312"/>
                <w:sz w:val="20"/>
              </w:rPr>
              <w:t>5</w:t>
            </w:r>
            <w:r>
              <w:rPr>
                <w:rFonts w:ascii="仿宋_GB2312" w:hAnsi="仿宋_GB2312" w:cs="仿宋_GB2312" w:eastAsia="仿宋_GB2312"/>
                <w:sz w:val="20"/>
              </w:rPr>
              <w:t>）结算方式：乙方应于甲方每次付款前向甲方开具等额发票，持服务合同、发票，与甲方结算。（</w:t>
            </w:r>
            <w:r>
              <w:rPr>
                <w:rFonts w:ascii="仿宋_GB2312" w:hAnsi="仿宋_GB2312" w:cs="仿宋_GB2312" w:eastAsia="仿宋_GB2312"/>
                <w:sz w:val="20"/>
              </w:rPr>
              <w:t>6</w:t>
            </w:r>
            <w:r>
              <w:rPr>
                <w:rFonts w:ascii="仿宋_GB2312" w:hAnsi="仿宋_GB2312" w:cs="仿宋_GB2312" w:eastAsia="仿宋_GB2312"/>
                <w:sz w:val="20"/>
              </w:rPr>
              <w:t>）每次付款前，乙方应向甲方提交付款申请，因乙方原因导致甲方支付延期的，甲方不承担违约责任。</w:t>
            </w:r>
          </w:p>
          <w:p>
            <w:pPr>
              <w:pStyle w:val="null3"/>
            </w:pPr>
            <w:r>
              <w:rPr>
                <w:rFonts w:ascii="仿宋_GB2312" w:hAnsi="仿宋_GB2312" w:cs="仿宋_GB2312" w:eastAsia="仿宋_GB2312"/>
                <w:sz w:val="20"/>
              </w:rPr>
              <w:t>6</w:t>
            </w:r>
            <w:r>
              <w:rPr>
                <w:rFonts w:ascii="仿宋_GB2312" w:hAnsi="仿宋_GB2312" w:cs="仿宋_GB2312" w:eastAsia="仿宋_GB2312"/>
                <w:sz w:val="20"/>
              </w:rPr>
              <w:t>、验收标准：（</w:t>
            </w:r>
            <w:r>
              <w:rPr>
                <w:rFonts w:ascii="仿宋_GB2312" w:hAnsi="仿宋_GB2312" w:cs="仿宋_GB2312" w:eastAsia="仿宋_GB2312"/>
                <w:sz w:val="20"/>
              </w:rPr>
              <w:t>1</w:t>
            </w:r>
            <w:r>
              <w:rPr>
                <w:rFonts w:ascii="仿宋_GB2312" w:hAnsi="仿宋_GB2312" w:cs="仿宋_GB2312" w:eastAsia="仿宋_GB2312"/>
                <w:sz w:val="20"/>
              </w:rPr>
              <w:t>）符合国家现行规范及行业标准；（</w:t>
            </w:r>
            <w:r>
              <w:rPr>
                <w:rFonts w:ascii="仿宋_GB2312" w:hAnsi="仿宋_GB2312" w:cs="仿宋_GB2312" w:eastAsia="仿宋_GB2312"/>
                <w:sz w:val="20"/>
              </w:rPr>
              <w:t>2</w:t>
            </w:r>
            <w:r>
              <w:rPr>
                <w:rFonts w:ascii="仿宋_GB2312" w:hAnsi="仿宋_GB2312" w:cs="仿宋_GB2312" w:eastAsia="仿宋_GB2312"/>
                <w:sz w:val="20"/>
              </w:rPr>
              <w:t>）采购人根据合同要求进行验收，验收依据为合同文本、竞争性磋商文件、响应文件；（</w:t>
            </w:r>
            <w:r>
              <w:rPr>
                <w:rFonts w:ascii="仿宋_GB2312" w:hAnsi="仿宋_GB2312" w:cs="仿宋_GB2312" w:eastAsia="仿宋_GB2312"/>
                <w:sz w:val="20"/>
              </w:rPr>
              <w:t>3</w:t>
            </w:r>
            <w:r>
              <w:rPr>
                <w:rFonts w:ascii="仿宋_GB2312" w:hAnsi="仿宋_GB2312" w:cs="仿宋_GB2312" w:eastAsia="仿宋_GB2312"/>
                <w:sz w:val="20"/>
              </w:rPr>
              <w:t>）验收合格后，填写验收单，并向采购人提交所有资料，以便使用单位日后管理和维护；（</w:t>
            </w:r>
            <w:r>
              <w:rPr>
                <w:rFonts w:ascii="仿宋_GB2312" w:hAnsi="仿宋_GB2312" w:cs="仿宋_GB2312" w:eastAsia="仿宋_GB2312"/>
                <w:sz w:val="20"/>
              </w:rPr>
              <w:t>4</w:t>
            </w:r>
            <w:r>
              <w:rPr>
                <w:rFonts w:ascii="仿宋_GB2312" w:hAnsi="仿宋_GB2312" w:cs="仿宋_GB2312" w:eastAsia="仿宋_GB2312"/>
                <w:sz w:val="20"/>
              </w:rPr>
              <w:t>）验收过程中所产生的费用由供应商承担。</w:t>
            </w:r>
          </w:p>
          <w:p>
            <w:pPr>
              <w:pStyle w:val="null3"/>
              <w:jc w:val="both"/>
            </w:pPr>
            <w:r>
              <w:rPr>
                <w:rFonts w:ascii="仿宋_GB2312" w:hAnsi="仿宋_GB2312" w:cs="仿宋_GB2312" w:eastAsia="仿宋_GB2312"/>
                <w:sz w:val="20"/>
              </w:rPr>
              <w:t>备注：商务要求为实质性条款，不允许负偏离。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成果文件提交后，成交人向采购人提出验收申请。2、由采购人、使用单位组织项目相关人员及专家按照磋商文件、投标（或响应）文件及磋商记录表、政府采购合同、技术指标及国家现行行业规范标准和文献资料进行验收，各项指标均应符合验收标准及要求。3、经采购人与供应商共同验收，并出具验收结果和意见，供应商负责向验收组提交验收所需文件和相关资料等，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服务期满，提交经采购人认可的成果文件后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经验收合格无质量问题后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供应商承诺书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供应商须具备工程勘察专业（工程测量）乙级及以上资质或测绘乙级及以上资质证书；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拟派项目负责人须具备水利相关专业或测绘类相关专业中级及以上技术职称；</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服务期、服务地点、服务质量</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1.对本项目的理解与认识</w:t>
            </w:r>
          </w:p>
        </w:tc>
        <w:tc>
          <w:tcPr>
            <w:tcW w:type="dxa" w:w="2492"/>
          </w:tcPr>
          <w:p>
            <w:pPr>
              <w:pStyle w:val="null3"/>
            </w:pPr>
            <w:r>
              <w:rPr>
                <w:rFonts w:ascii="仿宋_GB2312" w:hAnsi="仿宋_GB2312" w:cs="仿宋_GB2312" w:eastAsia="仿宋_GB2312"/>
              </w:rPr>
              <w:t>一、评审内容 供应商针对本项目工作的理解与认识，内容包含：①对项目内容、任务、目标的理解与认识；②对任务区地理、气候及其他相关因素的认识与理解；③对主要技术依据文件、技术指标要求、成果规格要求的认识与理解。 二、评审标准 1、完整性：理解全面、清晰，认识到位，对评审内容中的各项要求有详细描述；2、可实施性：切合本项目实际情况，提出步骤清晰、合理的方案；3、针对性：措施能够紧扣项目实际情况，内容科学合理。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2.工作方案（对本项目思路方法是否科学、合理、全面）</w:t>
            </w:r>
          </w:p>
        </w:tc>
        <w:tc>
          <w:tcPr>
            <w:tcW w:type="dxa" w:w="2492"/>
          </w:tcPr>
          <w:p>
            <w:pPr>
              <w:pStyle w:val="null3"/>
            </w:pPr>
            <w:r>
              <w:rPr>
                <w:rFonts w:ascii="仿宋_GB2312" w:hAnsi="仿宋_GB2312" w:cs="仿宋_GB2312" w:eastAsia="仿宋_GB2312"/>
              </w:rPr>
              <w:t>一、评审内容 供应商针对本项目提出的工作方案及内容，内容包含：①前期准备；②外业调查；③内业计算；④成果编制；⑤审核提交。 二、评审标准 1、完整性：工作内容全面，对评审内容中的各项要求有详细描述；2、可实施性：切合本项目实际情况，提出步骤清晰、合理的方案；3、针对性：方案能够紧扣项目实际情况，内容科学合理。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3.编制范围及主要内容</w:t>
            </w:r>
          </w:p>
        </w:tc>
        <w:tc>
          <w:tcPr>
            <w:tcW w:type="dxa" w:w="2492"/>
          </w:tcPr>
          <w:p>
            <w:pPr>
              <w:pStyle w:val="null3"/>
            </w:pPr>
            <w:r>
              <w:rPr>
                <w:rFonts w:ascii="仿宋_GB2312" w:hAnsi="仿宋_GB2312" w:cs="仿宋_GB2312" w:eastAsia="仿宋_GB2312"/>
              </w:rPr>
              <w:t>一、评审内容 供应商针对本项目的编制范围及内容，内容包含：①编制范围；②编制框架；③编制内容。 二、评审标准 1、完整性：内容清晰、全面，对评审内容中的各项要求有详细描述；2、可实施性：切合本项目实际情况，提出清晰、合理的方案；3、针对性：方案能够紧扣项目实际情况，内容科学合理。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4.项目重点、难点分析及应对措施</w:t>
            </w:r>
          </w:p>
        </w:tc>
        <w:tc>
          <w:tcPr>
            <w:tcW w:type="dxa" w:w="2492"/>
          </w:tcPr>
          <w:p>
            <w:pPr>
              <w:pStyle w:val="null3"/>
            </w:pPr>
            <w:r>
              <w:rPr>
                <w:rFonts w:ascii="仿宋_GB2312" w:hAnsi="仿宋_GB2312" w:cs="仿宋_GB2312" w:eastAsia="仿宋_GB2312"/>
              </w:rPr>
              <w:t>一、评审内容 供应商对本项目项目重点、难点分析及应对措施，内容包含：①项目特点、关键技术问题的认识；②项目重点、难点分析；③重点、难点应对措施。 二、评审标准 1、完整性：内容描述清晰、分析理解全面，对评审内容中的各项要求有详细描述；2、可实施性：切合本项目实际情况，提出清晰、合理的解决方案；3、针对性：应对措施能够紧扣项目实际情况，内容科学合理。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5.工作进度计划及保障措施</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①工作进度计划；②进度保障措施。 二、评审标准 1、完整性：工作进度计划条理、节点清晰，对评审内容中的各项要求有详细描述；2、可实施性：切合本项目实际情况，提出步骤清晰、合理的方案；3、针对性：措施能够紧扣项目实际情况，内容科学合理。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6.质量保障措施</w:t>
            </w:r>
          </w:p>
        </w:tc>
        <w:tc>
          <w:tcPr>
            <w:tcW w:type="dxa" w:w="2492"/>
          </w:tcPr>
          <w:p>
            <w:pPr>
              <w:pStyle w:val="null3"/>
            </w:pPr>
            <w:r>
              <w:rPr>
                <w:rFonts w:ascii="仿宋_GB2312" w:hAnsi="仿宋_GB2312" w:cs="仿宋_GB2312" w:eastAsia="仿宋_GB2312"/>
              </w:rPr>
              <w:t>一、评审内容 供应商针对本项目提出的质量保障措施，内容包含：①质量控制与质量检查；②质量管理制度；③质量管理体系与职责。 二、评审标准 1、完整性：质量保障措施全面，对评审内容中的各项要求有详细描述；2、可实施性：切合本项目实际情况，提出步骤清晰、合理的方案；3、针对性：措施能够紧扣项目实际情况，内容科学合理。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7.安全保障措施</w:t>
            </w:r>
          </w:p>
        </w:tc>
        <w:tc>
          <w:tcPr>
            <w:tcW w:type="dxa" w:w="2492"/>
          </w:tcPr>
          <w:p>
            <w:pPr>
              <w:pStyle w:val="null3"/>
            </w:pPr>
            <w:r>
              <w:rPr>
                <w:rFonts w:ascii="仿宋_GB2312" w:hAnsi="仿宋_GB2312" w:cs="仿宋_GB2312" w:eastAsia="仿宋_GB2312"/>
              </w:rPr>
              <w:t>一、评审内容 供应商针对本项目提出的安全保障措施，内容包含：①项目可能涉及的安全风险评估；②安全管理制度；③安全保障措施。 二、评审标准 1、完整性：措施全面，对评审内容中的各项要求有详细描述；2、可实施性：切合本项目实际情况，提出步骤清晰、合理的方案；3、针对性：措施能够紧扣项目实际情况，内容科学合理。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8.保密措施</w:t>
            </w:r>
          </w:p>
        </w:tc>
        <w:tc>
          <w:tcPr>
            <w:tcW w:type="dxa" w:w="2492"/>
          </w:tcPr>
          <w:p>
            <w:pPr>
              <w:pStyle w:val="null3"/>
            </w:pPr>
            <w:r>
              <w:rPr>
                <w:rFonts w:ascii="仿宋_GB2312" w:hAnsi="仿宋_GB2312" w:cs="仿宋_GB2312" w:eastAsia="仿宋_GB2312"/>
              </w:rPr>
              <w:t>一、评审内容 供应商针对本项目保密保障方案，内容包含：①项目可能涉及的失泄密风险评估；②保密管理制度；③保密保障措施。 二、评审标准 1、完整性：措施全面，对评审内容中的各项要求有详细描述；2、可实施性：切合本项目实际情况，提出步骤清晰、合理的方案； 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9.项目组织机构</w:t>
            </w:r>
          </w:p>
        </w:tc>
        <w:tc>
          <w:tcPr>
            <w:tcW w:type="dxa" w:w="2492"/>
          </w:tcPr>
          <w:p>
            <w:pPr>
              <w:pStyle w:val="null3"/>
            </w:pPr>
            <w:r>
              <w:rPr>
                <w:rFonts w:ascii="仿宋_GB2312" w:hAnsi="仿宋_GB2312" w:cs="仿宋_GB2312" w:eastAsia="仿宋_GB2312"/>
              </w:rPr>
              <w:t>一、评审内容 供应商针对本项目组织机构，内容包含：①项目管理机构配备计划；②组织机构岗位职责；③团队人员配备情况（专业配备、专业分工、机构健全等）。 二、评审标准 1、完整性：项目管理机构配置合理、职能健全、岗位分工明确，对评审内容中的各项要求有完整响应；2、可实施性：切合本项目实际情况，提出清晰、明确的项目组织机构方案；3、针对性：人员配备能够紧扣项目实际情况，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10.类似业绩</w:t>
            </w:r>
          </w:p>
        </w:tc>
        <w:tc>
          <w:tcPr>
            <w:tcW w:type="dxa" w:w="2492"/>
          </w:tcPr>
          <w:p>
            <w:pPr>
              <w:pStyle w:val="null3"/>
            </w:pPr>
            <w:r>
              <w:rPr>
                <w:rFonts w:ascii="仿宋_GB2312" w:hAnsi="仿宋_GB2312" w:cs="仿宋_GB2312" w:eastAsia="仿宋_GB2312"/>
              </w:rPr>
              <w:t>供应商提供2021年1月1日（以中标通知书或合同时间为准）至今承接过类似项目业绩，每提供一项得2分，满分6分。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