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版本号：SZT2025-SN-QC-ZC-FW-030720250701001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简王井片区土地征收、土地供应测量项目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SZT2025-SN-QC-ZC-FW-0307</w:t>
      </w:r>
      <w:r>
        <w:br/>
      </w:r>
      <w:r>
        <w:br/>
      </w:r>
      <w:r>
        <w:br/>
      </w:r>
    </w:p>
    <w:p>
      <w:pPr>
        <w:pStyle w:val="null3"/>
        <w:jc w:val="center"/>
        <w:outlineLvl w:val="2"/>
      </w:pPr>
      <w:r>
        <w:rPr>
          <w:rFonts w:ascii="仿宋_GB2312" w:hAnsi="仿宋_GB2312" w:cs="仿宋_GB2312" w:eastAsia="仿宋_GB2312"/>
          <w:sz w:val="28"/>
          <w:b/>
        </w:rPr>
        <w:t>西安市自然资源和规划局长安分局土地储备中心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委托，拟对</w:t>
      </w:r>
      <w:r>
        <w:rPr>
          <w:rFonts w:ascii="仿宋_GB2312" w:hAnsi="仿宋_GB2312" w:cs="仿宋_GB2312" w:eastAsia="仿宋_GB2312"/>
        </w:rPr>
        <w:t>简王井片区土地征收、土地供应测量项目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SZT2025-SN-QC-ZC-FW-0307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简王井片区土地征收、土地供应测量项目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2023年11月1日，叶市长在《关于提请市政府专项研究中央联席会议督导组督查龚朝辉反映拆迁补偿信访事项的请示》上对简王井片区征收拆迁安置工作做出“同意曲江新区退出长安合作开发以及停止征收拆迁安置工作，该地块由市土储中心与长安区联合收储”的批示。同时，根据西安市人民政府专项问题会议纪要（22）号内容，拟组织实施简王井片区收储工作。 简王井片区用地项目共12个地块约950亩。实施项目范围的相关测量工作，配合整个项目的土地报批、土地供应等提供相关测量数据、资料等。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采购包1（简王井片区土地征收、土地供应测量项目）：属于专门面向中小企业采购。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1、供应商要求：供应商须具备测绘主管部门颁发乙级以上（含乙级）测绘资质(专业类别须涵盖本次招标内容)。</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西安市自然资源和规划局长安分局土地储备中心经办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029-85296382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李毓菲、杨艳、李娜、单博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定额收取壹万伍仟元整。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2023年11月1日，叶市长在《关于提请市政府专项研究中央联席会议督导组督查龚朝辉反映拆迁补偿信访事项的请示》上对简王井片区征收拆迁安置工作做出“同意曲江新区退出长安合作开发以及停止征收拆迁安置工作，该地块由市土储中心与长安区联合收储”的批示。同时，根据西安市人民政府专项问题会议纪要（22）号内容，拟组织实施简王井片区收储工作。 简王井片区用地项目共12个地块约950亩。实施项目范围的相关测量工作，配合整个项目的土地报批、土地供应等提供相关测量数据、资料等。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1,120,000.00</w:t>
      </w:r>
    </w:p>
    <w:p>
      <w:pPr>
        <w:pStyle w:val="null3"/>
      </w:pPr>
      <w:r>
        <w:rPr>
          <w:rFonts w:ascii="仿宋_GB2312" w:hAnsi="仿宋_GB2312" w:cs="仿宋_GB2312" w:eastAsia="仿宋_GB2312"/>
        </w:rPr>
        <w:t>采购包最高限价（元）: 1,120,000.00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简王井片区土地征收、土地供应测量项目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标的名称：简王井片区土地征收、土地供应测量项目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按照</w:t>
            </w:r>
            <w:r>
              <w:rPr>
                <w:rFonts w:ascii="仿宋_GB2312" w:hAnsi="仿宋_GB2312" w:cs="仿宋_GB2312" w:eastAsia="仿宋_GB2312"/>
                <w:sz w:val="24"/>
              </w:rPr>
              <w:t>2023年11月1日，叶市长在《关于提请市政府专项研究中央联席会议督导组督查龚朝辉反映拆迁补偿信访事项的请示》上对简王井片区征收拆迁安置工作做出“同意曲江新区退出长安合作开发以及停止征收拆迁安置工作，该地块由市土储中心与长安区联合收储”的批示。同时，根据西安市人民政府专项问题会议纪要（22）号内容，拟组织实施简王井片区收储工作。</w:t>
            </w:r>
          </w:p>
          <w:p>
            <w:pPr>
              <w:pStyle w:val="null3"/>
              <w:ind w:firstLine="480"/>
              <w:jc w:val="both"/>
            </w:pPr>
            <w:r>
              <w:rPr>
                <w:rFonts w:ascii="仿宋_GB2312" w:hAnsi="仿宋_GB2312" w:cs="仿宋_GB2312" w:eastAsia="仿宋_GB2312"/>
                <w:sz w:val="24"/>
              </w:rPr>
              <w:t>简王井片区用地项目共</w:t>
            </w:r>
            <w:r>
              <w:rPr>
                <w:rFonts w:ascii="仿宋_GB2312" w:hAnsi="仿宋_GB2312" w:cs="仿宋_GB2312" w:eastAsia="仿宋_GB2312"/>
                <w:sz w:val="24"/>
              </w:rPr>
              <w:t>12个地块约950亩。实施项目范围的相关测量工作，配合整个项目的土地报批、土地供应等提供相关测量数据、资料等。</w:t>
            </w:r>
          </w:p>
          <w:p>
            <w:pPr>
              <w:pStyle w:val="null3"/>
              <w:jc w:val="both"/>
            </w:pPr>
            <w:r>
              <w:rPr>
                <w:rFonts w:ascii="仿宋_GB2312" w:hAnsi="仿宋_GB2312" w:cs="仿宋_GB2312" w:eastAsia="仿宋_GB2312"/>
                <w:sz w:val="24"/>
                <w:b/>
              </w:rPr>
              <w:t>二、项目任务</w:t>
            </w:r>
          </w:p>
          <w:p>
            <w:pPr>
              <w:pStyle w:val="null3"/>
              <w:ind w:firstLine="480"/>
              <w:jc w:val="both"/>
            </w:pPr>
            <w:r>
              <w:rPr>
                <w:rFonts w:ascii="仿宋_GB2312" w:hAnsi="仿宋_GB2312" w:cs="仿宋_GB2312" w:eastAsia="仿宋_GB2312"/>
                <w:sz w:val="24"/>
              </w:rPr>
              <w:t>测绘内容</w:t>
            </w:r>
          </w:p>
          <w:p>
            <w:pPr>
              <w:pStyle w:val="null3"/>
              <w:ind w:firstLine="480"/>
              <w:jc w:val="both"/>
            </w:pPr>
            <w:r>
              <w:rPr>
                <w:rFonts w:ascii="仿宋_GB2312" w:hAnsi="仿宋_GB2312" w:cs="仿宋_GB2312" w:eastAsia="仿宋_GB2312"/>
                <w:sz w:val="24"/>
              </w:rPr>
              <w:t>结合项目的土地报批、土地供应等提等前置测量技术支撑工作需要，确定本次采购服务内容（包含但不限于）：</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项目范围放线；</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项目范围内分村分组权属测量；</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项目范围内分村分组集体土地权属调查；</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土地勘测定界报告；</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规划附图；</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地类分布图；</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土地利用现状图；</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矢量（</w:t>
            </w:r>
            <w:r>
              <w:rPr>
                <w:rFonts w:ascii="仿宋_GB2312" w:hAnsi="仿宋_GB2312" w:cs="仿宋_GB2312" w:eastAsia="仿宋_GB2312"/>
                <w:sz w:val="24"/>
              </w:rPr>
              <w:t>SHP）数据；</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供地对比图；</w:t>
            </w:r>
          </w:p>
          <w:p>
            <w:pPr>
              <w:pStyle w:val="null3"/>
              <w:ind w:firstLine="480"/>
              <w:jc w:val="both"/>
            </w:pPr>
            <w:r>
              <w:rPr>
                <w:rFonts w:ascii="仿宋_GB2312" w:hAnsi="仿宋_GB2312" w:cs="仿宋_GB2312" w:eastAsia="仿宋_GB2312"/>
                <w:sz w:val="24"/>
              </w:rPr>
              <w:t>1.10</w:t>
            </w:r>
            <w:r>
              <w:rPr>
                <w:rFonts w:ascii="仿宋_GB2312" w:hAnsi="仿宋_GB2312" w:cs="仿宋_GB2312" w:eastAsia="仿宋_GB2312"/>
                <w:sz w:val="24"/>
              </w:rPr>
              <w:t>供地勘界图。</w:t>
            </w:r>
          </w:p>
          <w:p>
            <w:pPr>
              <w:pStyle w:val="null3"/>
              <w:ind w:firstLine="480"/>
              <w:jc w:val="both"/>
            </w:pPr>
            <w:r>
              <w:rPr>
                <w:rFonts w:ascii="仿宋_GB2312" w:hAnsi="仿宋_GB2312" w:cs="仿宋_GB2312" w:eastAsia="仿宋_GB2312"/>
                <w:sz w:val="24"/>
              </w:rPr>
              <w:t>1.11</w:t>
            </w:r>
            <w:r>
              <w:rPr>
                <w:rFonts w:ascii="仿宋_GB2312" w:hAnsi="仿宋_GB2312" w:cs="仿宋_GB2312" w:eastAsia="仿宋_GB2312"/>
                <w:sz w:val="24"/>
              </w:rPr>
              <w:t>供地前地籍调查。</w:t>
            </w:r>
          </w:p>
          <w:tbl>
            <w:tblPr>
              <w:tblInd w:type="dxa" w:w="120"/>
              <w:tblBorders>
                <w:top w:val="none" w:color="000000" w:sz="4"/>
                <w:left w:val="none" w:color="000000" w:sz="4"/>
                <w:bottom w:val="none" w:color="000000" w:sz="4"/>
                <w:right w:val="none" w:color="000000" w:sz="4"/>
                <w:insideH w:val="none"/>
                <w:insideV w:val="none"/>
              </w:tblBorders>
            </w:tblPr>
            <w:tblGrid>
              <w:gridCol w:w="279"/>
              <w:gridCol w:w="785"/>
              <w:gridCol w:w="422"/>
              <w:gridCol w:w="781"/>
              <w:gridCol w:w="285"/>
            </w:tblGrid>
            <w:tr>
              <w:tc>
                <w:tcPr>
                  <w:tcW w:type="dxa" w:w="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测绘类别</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计费单位</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单价</w:t>
                  </w:r>
                  <w:r>
                    <w:rPr>
                      <w:rFonts w:ascii="仿宋_GB2312" w:hAnsi="仿宋_GB2312" w:cs="仿宋_GB2312" w:eastAsia="仿宋_GB2312"/>
                      <w:sz w:val="24"/>
                      <w:b/>
                    </w:rPr>
                    <w:t>限价</w:t>
                  </w:r>
                  <w:r>
                    <w:rPr>
                      <w:rFonts w:ascii="仿宋_GB2312" w:hAnsi="仿宋_GB2312" w:cs="仿宋_GB2312" w:eastAsia="仿宋_GB2312"/>
                      <w:sz w:val="24"/>
                      <w:b/>
                    </w:rPr>
                    <w:t>（元）</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项目范围放线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分村分组权属测量</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集体土地权属调查</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亩</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土地勘测定界报告</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勘界点位费用</w:t>
                  </w:r>
                  <w:r>
                    <w:rPr>
                      <w:rFonts w:ascii="仿宋_GB2312" w:hAnsi="仿宋_GB2312" w:cs="仿宋_GB2312" w:eastAsia="仿宋_GB2312"/>
                      <w:sz w:val="24"/>
                    </w:rPr>
                    <w:t>680.00元/点，勘界面积费用0.20元/平方米，勘界工本费260.00元/本</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规划附图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地类分布图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土地利用现状图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宗</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矢量（</w:t>
                  </w:r>
                  <w:r>
                    <w:rPr>
                      <w:rFonts w:ascii="仿宋_GB2312" w:hAnsi="仿宋_GB2312" w:cs="仿宋_GB2312" w:eastAsia="仿宋_GB2312"/>
                      <w:sz w:val="24"/>
                    </w:rPr>
                    <w:t>SHP）数据</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0.04</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供地对比图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供地勘界图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320.00</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供地前地籍调查</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平方米</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三、主要技术指标</w:t>
            </w:r>
          </w:p>
          <w:p>
            <w:pPr>
              <w:pStyle w:val="null3"/>
              <w:ind w:firstLine="480"/>
              <w:jc w:val="both"/>
            </w:pPr>
            <w:r>
              <w:rPr>
                <w:rFonts w:ascii="仿宋_GB2312" w:hAnsi="仿宋_GB2312" w:cs="仿宋_GB2312" w:eastAsia="仿宋_GB2312"/>
                <w:sz w:val="24"/>
              </w:rPr>
              <w:t>所有业务均需按照国家标准、规范、省市规定，依据测绘成果质量检查与验收要求保质保量完成。</w:t>
            </w:r>
          </w:p>
          <w:p>
            <w:pPr>
              <w:pStyle w:val="null3"/>
              <w:ind w:firstLine="480"/>
              <w:jc w:val="both"/>
            </w:pPr>
            <w:r>
              <w:rPr>
                <w:rFonts w:ascii="仿宋_GB2312" w:hAnsi="仿宋_GB2312" w:cs="仿宋_GB2312" w:eastAsia="仿宋_GB2312"/>
                <w:sz w:val="24"/>
              </w:rPr>
              <w:t>技术依据：</w:t>
            </w:r>
          </w:p>
          <w:tbl>
            <w:tblPr>
              <w:tblInd w:type="dxa" w:w="255"/>
              <w:tblBorders>
                <w:top w:val="none" w:color="000000" w:sz="4"/>
                <w:left w:val="none" w:color="000000" w:sz="4"/>
                <w:bottom w:val="none" w:color="000000" w:sz="4"/>
                <w:right w:val="none" w:color="000000" w:sz="4"/>
                <w:insideH w:val="none"/>
                <w:insideV w:val="none"/>
              </w:tblBorders>
            </w:tblPr>
            <w:tblGrid>
              <w:gridCol w:w="368"/>
              <w:gridCol w:w="1305"/>
              <w:gridCol w:w="880"/>
            </w:tblGrid>
            <w:tr>
              <w:tc>
                <w:tcPr>
                  <w:tcW w:type="dxa" w:w="368"/>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序号</w:t>
                  </w:r>
                </w:p>
              </w:tc>
              <w:tc>
                <w:tcPr>
                  <w:tcW w:type="dxa" w:w="1305"/>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标准名称</w:t>
                  </w:r>
                </w:p>
              </w:tc>
              <w:tc>
                <w:tcPr>
                  <w:tcW w:type="dxa" w:w="880"/>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标准号</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土地勘测定界规程</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TD/T 1008-2007</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土地利用现状分类</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GB/T 21010-2017</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地籍调查规程</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GD/T 42547-2023</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城镇地籍调查规程</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TD 1001-2012</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基础地理信息要素分类与代码</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GB/T 13923-2022</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1：500、1：1000、1：2000地形图图式》</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GB/T 20257.1-2017</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1：500 1,1 000 1,2 000外业数字测图技术规程</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GB/T 14912-2017</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国家基本比例尺地形图分幅与编号</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GB/T 13989-2012</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全球定位系统（</w:t>
                  </w:r>
                  <w:r>
                    <w:rPr>
                      <w:rFonts w:ascii="仿宋_GB2312" w:hAnsi="仿宋_GB2312" w:cs="仿宋_GB2312" w:eastAsia="仿宋_GB2312"/>
                      <w:sz w:val="24"/>
                    </w:rPr>
                    <w:t>GPS）测量规范</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GB/T 18314-2016</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数字测绘成果质量检查与验收</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GB/T 18316-2008</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11</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测绘成果质量检查与验收</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GB/T 24356-2023</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12</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全球定位系统实时动态测量（</w:t>
                  </w:r>
                  <w:r>
                    <w:rPr>
                      <w:rFonts w:ascii="仿宋_GB2312" w:hAnsi="仿宋_GB2312" w:cs="仿宋_GB2312" w:eastAsia="仿宋_GB2312"/>
                      <w:sz w:val="24"/>
                    </w:rPr>
                    <w:t>RTK）技术规范</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CH/T 2009-2010</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13</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卫星定位城市测量规技术规范</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CJJ/T 73-2019</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14</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城市测量规范</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CJJ/T 8-2011</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15</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城镇地籍调查规定</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TD/T 1001-2012</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16</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地籍测绘规范</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CH 5002-94</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17</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地籍图图式</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CH 5003-1994</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18</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测绘产品检查验收规定</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CH 1002-2005</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19</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测绘产品质量评定标准</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CH 1003-1995</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20</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测绘技术总结编写规定</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CH/T 1001-2005</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21</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测绘技术设计规定</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CH/T 1004-2005</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22</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测绘作业人员安全规范</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CH 1016-2008</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23</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全球导航卫星系统连续运行参考站网建设规范</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CH/T 2008-2005</w:t>
                  </w:r>
                </w:p>
              </w:tc>
            </w:tr>
            <w:tr>
              <w:tc>
                <w:tcPr>
                  <w:tcW w:type="dxa" w:w="368"/>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仿宋_GB2312" w:hAnsi="仿宋_GB2312" w:cs="仿宋_GB2312" w:eastAsia="仿宋_GB2312"/>
                      <w:sz w:val="24"/>
                    </w:rPr>
                    <w:t>24</w:t>
                  </w:r>
                </w:p>
              </w:tc>
              <w:tc>
                <w:tcPr>
                  <w:tcW w:type="dxa" w:w="130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仿宋_GB2312" w:hAnsi="仿宋_GB2312" w:cs="仿宋_GB2312" w:eastAsia="仿宋_GB2312"/>
                      <w:sz w:val="24"/>
                    </w:rPr>
                    <w:t>房产测量规范</w:t>
                  </w:r>
                </w:p>
              </w:tc>
              <w:tc>
                <w:tcPr>
                  <w:tcW w:type="dxa" w:w="880"/>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firstLine="480"/>
                    <w:jc w:val="both"/>
                  </w:pPr>
                  <w:r>
                    <w:rPr>
                      <w:rFonts w:ascii="仿宋_GB2312" w:hAnsi="仿宋_GB2312" w:cs="仿宋_GB2312" w:eastAsia="仿宋_GB2312"/>
                      <w:sz w:val="24"/>
                    </w:rPr>
                    <w:t>GB/T17986-2000</w:t>
                  </w:r>
                </w:p>
              </w:tc>
            </w:tr>
          </w:tbl>
          <w:p>
            <w:pPr>
              <w:pStyle w:val="null3"/>
              <w:jc w:val="both"/>
            </w:pPr>
            <w:r>
              <w:rPr>
                <w:rFonts w:ascii="仿宋_GB2312" w:hAnsi="仿宋_GB2312" w:cs="仿宋_GB2312" w:eastAsia="仿宋_GB2312"/>
                <w:sz w:val="24"/>
                <w:b/>
              </w:rPr>
              <w:t>四、提交成果内容</w:t>
            </w:r>
          </w:p>
          <w:p>
            <w:pPr>
              <w:pStyle w:val="null3"/>
              <w:ind w:firstLine="480"/>
              <w:jc w:val="both"/>
            </w:pPr>
            <w:r>
              <w:rPr>
                <w:rFonts w:ascii="仿宋_GB2312" w:hAnsi="仿宋_GB2312" w:cs="仿宋_GB2312" w:eastAsia="仿宋_GB2312"/>
                <w:sz w:val="24"/>
              </w:rPr>
              <w:t>1、各种图件纸质成果</w:t>
            </w:r>
          </w:p>
          <w:p>
            <w:pPr>
              <w:pStyle w:val="null3"/>
              <w:ind w:firstLine="480"/>
              <w:jc w:val="both"/>
            </w:pPr>
            <w:r>
              <w:rPr>
                <w:rFonts w:ascii="仿宋_GB2312" w:hAnsi="仿宋_GB2312" w:cs="仿宋_GB2312" w:eastAsia="仿宋_GB2312"/>
                <w:sz w:val="24"/>
              </w:rPr>
              <w:t>2、坐标成果文件</w:t>
            </w:r>
          </w:p>
          <w:p>
            <w:pPr>
              <w:pStyle w:val="null3"/>
              <w:ind w:firstLine="480"/>
              <w:jc w:val="both"/>
            </w:pPr>
            <w:r>
              <w:rPr>
                <w:rFonts w:ascii="仿宋_GB2312" w:hAnsi="仿宋_GB2312" w:cs="仿宋_GB2312" w:eastAsia="仿宋_GB2312"/>
                <w:sz w:val="24"/>
              </w:rPr>
              <w:t>3、测量报告</w:t>
            </w:r>
          </w:p>
          <w:p>
            <w:pPr>
              <w:pStyle w:val="null3"/>
              <w:ind w:firstLine="480"/>
              <w:jc w:val="both"/>
            </w:pPr>
            <w:r>
              <w:rPr>
                <w:rFonts w:ascii="仿宋_GB2312" w:hAnsi="仿宋_GB2312" w:cs="仿宋_GB2312" w:eastAsia="仿宋_GB2312"/>
                <w:sz w:val="24"/>
              </w:rPr>
              <w:t>4、所需成果的数据格式文件</w:t>
            </w:r>
          </w:p>
          <w:p>
            <w:pPr>
              <w:pStyle w:val="null3"/>
              <w:jc w:val="both"/>
            </w:pPr>
            <w:r>
              <w:rPr>
                <w:rFonts w:ascii="仿宋_GB2312" w:hAnsi="仿宋_GB2312" w:cs="仿宋_GB2312" w:eastAsia="仿宋_GB2312"/>
                <w:sz w:val="24"/>
                <w:b/>
              </w:rPr>
              <w:t>五、其他要求</w:t>
            </w:r>
          </w:p>
          <w:p>
            <w:pPr>
              <w:pStyle w:val="null3"/>
              <w:jc w:val="both"/>
            </w:pPr>
            <w:r>
              <w:rPr>
                <w:rFonts w:ascii="仿宋_GB2312" w:hAnsi="仿宋_GB2312" w:cs="仿宋_GB2312" w:eastAsia="仿宋_GB2312"/>
                <w:sz w:val="24"/>
              </w:rPr>
              <w:t>付款方式及服务期：自合同签订之日起至项目完成。据实结算，一年支付一次。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据实结算，一年支付一次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据实结算，一年支付一次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2.本项目成交供应商须在领取成交通知书时提供纸质响应文件一套正本及一套副本交由采购代理机构备案，该文件须与线上电子投标文件完全一致。 3.合同总金额：合同总金额由全部项目测绘服务费用构成，最高限价为人民币112.00万元，具体以审计结果为准。 除本合同明确约定外，甲方不再向乙方支付其他任何费用。 4.本合同项下合同总金额按项目计取，单个项目测绘服务费按照项目测绘单价计取（根据不同测绘业务类型确定不同项目单价）： 单个项目测绘服务费=项目测绘单价×项目工作量。 5.每个项目测绘完成并测绘成果交付经甲方审核无误后，就该项目测绘服务费提交审计部门进行审计，单个项目测绘服务费以审计结果为准。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供应商须具备测绘主管部门颁发乙级以上（含乙级）测绘资质(专业类别须涵盖本次招标内容)。</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响应文件封面 供应商拒绝政府采购领域商业贿赂承诺书.docx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付款方式响应磋商文件的要求</w:t>
            </w:r>
          </w:p>
        </w:tc>
        <w:tc>
          <w:tcPr>
            <w:tcW w:type="dxa" w:w="1661"/>
          </w:tcPr>
          <w:p>
            <w:pPr>
              <w:pStyle w:val="null3"/>
            </w:pPr>
            <w:r>
              <w:rPr>
                <w:rFonts w:ascii="仿宋_GB2312" w:hAnsi="仿宋_GB2312" w:cs="仿宋_GB2312" w:eastAsia="仿宋_GB2312"/>
              </w:rPr>
              <w:t>商务要求偏离表.docx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磋商报价未超过单价最高限价</w:t>
            </w:r>
          </w:p>
        </w:tc>
        <w:tc>
          <w:tcPr>
            <w:tcW w:type="dxa" w:w="1661"/>
          </w:tcPr>
          <w:p>
            <w:pPr>
              <w:pStyle w:val="null3"/>
            </w:pPr>
            <w:r>
              <w:rPr>
                <w:rFonts w:ascii="仿宋_GB2312" w:hAnsi="仿宋_GB2312" w:cs="仿宋_GB2312" w:eastAsia="仿宋_GB2312"/>
              </w:rPr>
              <w:t>分项报价表.docx 标的清单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整体工作方案</w:t>
            </w:r>
          </w:p>
        </w:tc>
        <w:tc>
          <w:tcPr>
            <w:tcW w:type="dxa" w:w="2492"/>
          </w:tcPr>
          <w:p>
            <w:pPr>
              <w:pStyle w:val="null3"/>
            </w:pPr>
            <w:r>
              <w:rPr>
                <w:rFonts w:ascii="仿宋_GB2312" w:hAnsi="仿宋_GB2312" w:cs="仿宋_GB2312" w:eastAsia="仿宋_GB2312"/>
              </w:rPr>
              <w:t>根据供应商对制定的总体工作方案进行评分： 1.全部响应采购要求与技术要求，方案详细、科学合理得10分； 2.响应采购要求与技术要求，方案较为详细、科学合理得8分， 3.响应采购要求与技术要求，比较齐全、合理可行得6分； 4.基本响应采购要求与技术要求得4分； 5.合理性一般，可行性一般的得2分； 未提供或方案偏差过大得0分。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根据供应商对本项目的关键性技术、重点难点的解决方案进行评分： 1.针对本项目关键技术、重点、难点的解决方案科学合理、完善、全面、具体、有亮点、可行性强，得7分； 2.针对本项目关键技术、重点、难点的解决方案科学合理、完善、全面、具体，得5分； 3.针对本项目关键技术、重点、难点的解决方案全面但不具体、可行性一般，得3分； 4.针对本项目关键技术、重点、难点的解决方案不够完善、无亮点、可行性较差，得1分。 5.未提供或方案偏差过大得0分。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进度计划及保障方案</w:t>
            </w:r>
          </w:p>
        </w:tc>
        <w:tc>
          <w:tcPr>
            <w:tcW w:type="dxa" w:w="2492"/>
          </w:tcPr>
          <w:p>
            <w:pPr>
              <w:pStyle w:val="null3"/>
            </w:pPr>
            <w:r>
              <w:rPr>
                <w:rFonts w:ascii="仿宋_GB2312" w:hAnsi="仿宋_GB2312" w:cs="仿宋_GB2312" w:eastAsia="仿宋_GB2312"/>
              </w:rPr>
              <w:t>根据各供应商提供的进度计划及进度保障措施进行评分： 1.进度计划及进度保障措施全面、详细、明确、可操作性强，得6分； 2.进度计划及进度保障措施较全面，但不够详细、明确、可操作性较强的，得4分； 3.进度计划及进度保障措施不全面，不够详细、明确、可操作性不强的，得2分； 4.无相关内容不得分。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根据各供应商提供的质量保障措施、承诺进行评分： 1.质量保障措施、服务承诺全面、详细、明确、可操作性强，得7分； 2.质量保障措施、承诺较全面，不够详细、明确、可操作性较强的，得5分； 3.质量保障措施、承诺基本全面，不够详细、明确、基本可操作，得3分； 4.质量保障措施、承诺不够全面，不够详细、明确、可操作性不强的，得1分； 5.无相关内容不得分。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信息保密方案及措施</w:t>
            </w:r>
          </w:p>
        </w:tc>
        <w:tc>
          <w:tcPr>
            <w:tcW w:type="dxa" w:w="2492"/>
          </w:tcPr>
          <w:p>
            <w:pPr>
              <w:pStyle w:val="null3"/>
            </w:pPr>
            <w:r>
              <w:rPr>
                <w:rFonts w:ascii="仿宋_GB2312" w:hAnsi="仿宋_GB2312" w:cs="仿宋_GB2312" w:eastAsia="仿宋_GB2312"/>
              </w:rPr>
              <w:t>针对本项目数据及成果的信息保密出具整体方案及对应措施。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根据供应商提供的对成果文件的准确性、服务时限内团队稳定性、人员到位情况、服务质量等相关内容做出的承诺进行赋分。 1.承诺全面、详实，服务质量配合承诺清晰明确，得6分； 2.承诺较为详实全面，服务质量配合承诺基本完善，得4分； 3.承诺不全面，服务质量配合承诺较为简略，得2分； 4.无相关的承诺得0分。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服务团队岗位设置</w:t>
            </w:r>
          </w:p>
        </w:tc>
        <w:tc>
          <w:tcPr>
            <w:tcW w:type="dxa" w:w="2492"/>
          </w:tcPr>
          <w:p>
            <w:pPr>
              <w:pStyle w:val="null3"/>
            </w:pPr>
            <w:r>
              <w:rPr>
                <w:rFonts w:ascii="仿宋_GB2312" w:hAnsi="仿宋_GB2312" w:cs="仿宋_GB2312" w:eastAsia="仿宋_GB2312"/>
              </w:rPr>
              <w:t>1.组织结构健全，有完善的岗位制度和岗位职责，人员安排合理、分工明确，可操作性强，得6分； 2.供应商组织结构较为健全，有较为完善的岗位制度和岗位职责，人员安排及分工较为合理，具有一定的操作性，得4分； 3.供应商组织结构不够健全，岗位制度和岗位职责不够完善，得2分； 4.未提供或方案偏差过大得0分。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拟配备团队情况.docx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服务团队人员</w:t>
            </w:r>
          </w:p>
        </w:tc>
        <w:tc>
          <w:tcPr>
            <w:tcW w:type="dxa" w:w="2492"/>
          </w:tcPr>
          <w:p>
            <w:pPr>
              <w:pStyle w:val="null3"/>
            </w:pPr>
            <w:r>
              <w:rPr>
                <w:rFonts w:ascii="仿宋_GB2312" w:hAnsi="仿宋_GB2312" w:cs="仿宋_GB2312" w:eastAsia="仿宋_GB2312"/>
              </w:rPr>
              <w:t>根据拟派服务团队的人员数量、专业技术能力、从业经历等赋分。 1.人员经验丰富、配备合理充足，证明材料齐全得6分； 2.人员有一定经验、人员配备无严重缺漏，但有证明材料得4分； 3.人员缺乏经验、配备情况无法充分完成服务工作，且证明材料不足得2分； 4.未提供或人员配备完全无法胜任本项目工作的得0分。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特色服务</w:t>
            </w:r>
          </w:p>
        </w:tc>
        <w:tc>
          <w:tcPr>
            <w:tcW w:type="dxa" w:w="2492"/>
          </w:tcPr>
          <w:p>
            <w:pPr>
              <w:pStyle w:val="null3"/>
            </w:pPr>
            <w:r>
              <w:rPr>
                <w:rFonts w:ascii="仿宋_GB2312" w:hAnsi="仿宋_GB2312" w:cs="仿宋_GB2312" w:eastAsia="仿宋_GB2312"/>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供应商可根据自身情况及项目特征，做出本项目的合理化建议。 1.合理化建议详尽、全面、有效、合理，可实施性强，得6分； 2.合理化建议有效、合理、可实施，得4分； 3.合理化建议基本有效，但可实施性有所欠缺，得2分； 4.不合理或未提供得0分。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2022年1月1日至今同类项目的业绩，提供合同复印件并加盖公章，每提供1份有效业绩得2分，共10分，未提供的不得分。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1.满足磋商文件实质性要求且最后报价最低的供应商磋商单价合计（即各项单价的总和）为投标基准价，其价格分为满分10分。 2.报价得分=（评审基准价/磋商单价合计）×10。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详见附件：测绘服务合同.docx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