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版本号：SXZM-CS-2025025.20250701001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药物临床试验机构备案第三方公司服务(二次)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SXZM-CS-2025025.</w:t>
      </w:r>
      <w:r>
        <w:br/>
      </w:r>
      <w:r>
        <w:br/>
      </w:r>
      <w:r>
        <w:br/>
      </w:r>
    </w:p>
    <w:p>
      <w:pPr>
        <w:pStyle w:val="null3"/>
        <w:jc w:val="center"/>
        <w:outlineLvl w:val="2"/>
      </w:pPr>
      <w:r>
        <w:rPr>
          <w:rFonts w:ascii="仿宋_GB2312" w:hAnsi="仿宋_GB2312" w:cs="仿宋_GB2312" w:eastAsia="仿宋_GB2312"/>
          <w:sz w:val="28"/>
          <w:b/>
        </w:rPr>
        <w:t>西安市长安区医院</w:t>
      </w:r>
    </w:p>
    <w:p>
      <w:pPr>
        <w:pStyle w:val="null3"/>
        <w:jc w:val="center"/>
        <w:outlineLvl w:val="2"/>
      </w:pPr>
      <w:r>
        <w:rPr>
          <w:rFonts w:ascii="仿宋_GB2312" w:hAnsi="仿宋_GB2312" w:cs="仿宋_GB2312" w:eastAsia="仿宋_GB2312"/>
          <w:sz w:val="28"/>
          <w:b/>
        </w:rPr>
        <w:t>陕西正明项目管理有限公司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西安市长安区医院</w:t>
      </w:r>
      <w:r>
        <w:rPr>
          <w:rFonts w:ascii="仿宋_GB2312" w:hAnsi="仿宋_GB2312" w:cs="仿宋_GB2312" w:eastAsia="仿宋_GB2312"/>
        </w:rPr>
        <w:t>委托，拟对</w:t>
      </w:r>
      <w:r>
        <w:rPr>
          <w:rFonts w:ascii="仿宋_GB2312" w:hAnsi="仿宋_GB2312" w:cs="仿宋_GB2312" w:eastAsia="仿宋_GB2312"/>
        </w:rPr>
        <w:t>药物临床试验机构备案第三方公司服务(二次)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SXZM-CS-2025025.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药物临床试验机构备案第三方公司服务(二次)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药物临床试验机构备案第三方公司服务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采购包1（药物临床试验机构备案第三方公司服务）：属于专门面向中小企业采购。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身份证明；评审依据：竞争性磋商响应文件中所附证明材料为准</w:t>
      </w:r>
    </w:p>
    <w:p>
      <w:pPr>
        <w:pStyle w:val="null3"/>
      </w:pPr>
      <w:r>
        <w:rPr>
          <w:rFonts w:ascii="仿宋_GB2312" w:hAnsi="仿宋_GB2312" w:cs="仿宋_GB2312" w:eastAsia="仿宋_GB2312"/>
        </w:rPr>
        <w:t>2、财务状况报告：提供具有经审计资质单位出具的2023年度或2024年度的财务审计报告，成立时间至提交竞争性磋商响应文件截止时间不足一年的可提供成立后任意时段的资产负债表；或其开标前六个月内基本存款账户开户银行出具的资信证明。（以上两种形式的资料提供任何一种即可）；评审依据：竞争性磋商响应文件中所附证明材料为准</w:t>
      </w:r>
    </w:p>
    <w:p>
      <w:pPr>
        <w:pStyle w:val="null3"/>
      </w:pPr>
      <w:r>
        <w:rPr>
          <w:rFonts w:ascii="仿宋_GB2312" w:hAnsi="仿宋_GB2312" w:cs="仿宋_GB2312" w:eastAsia="仿宋_GB2312"/>
        </w:rPr>
        <w:t>3、税收缴纳证明：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评审依据：竞争性磋商响应文件中所附证明材料为准</w:t>
      </w:r>
    </w:p>
    <w:p>
      <w:pPr>
        <w:pStyle w:val="null3"/>
      </w:pPr>
      <w:r>
        <w:rPr>
          <w:rFonts w:ascii="仿宋_GB2312" w:hAnsi="仿宋_GB2312" w:cs="仿宋_GB2312" w:eastAsia="仿宋_GB2312"/>
        </w:rPr>
        <w:t>4、社保缴纳证明：提供首次磋商响应文件递交截止时间前1年内任意时段的社会保障资金缴存单据或社保机构开具的社会保险参保缴费情况证明，依法不需要缴纳社会保障资金的单位应提供相关证明材料；评审依据：竞争性磋商响应文件中所附证明材料为准</w:t>
      </w:r>
    </w:p>
    <w:p>
      <w:pPr>
        <w:pStyle w:val="null3"/>
      </w:pPr>
      <w:r>
        <w:rPr>
          <w:rFonts w:ascii="仿宋_GB2312" w:hAnsi="仿宋_GB2312" w:cs="仿宋_GB2312" w:eastAsia="仿宋_GB2312"/>
        </w:rPr>
        <w:t>5、履行合同承诺函：提供具有履行合同所必需的设备和专业技术能力的承诺；评审依据：竞争性磋商响应文件中所附证明材料为准</w:t>
      </w:r>
    </w:p>
    <w:p>
      <w:pPr>
        <w:pStyle w:val="null3"/>
      </w:pPr>
      <w:r>
        <w:rPr>
          <w:rFonts w:ascii="仿宋_GB2312" w:hAnsi="仿宋_GB2312" w:cs="仿宋_GB2312" w:eastAsia="仿宋_GB2312"/>
        </w:rPr>
        <w:t>6、无重大违法记录书面声明：参加政府采购活动前3年内，在经营活动中没有重大违法记录的书面声明。评审依据：竞争性磋商响应文件中所附证明材料为准</w:t>
      </w:r>
    </w:p>
    <w:p>
      <w:pPr>
        <w:pStyle w:val="null3"/>
      </w:pPr>
      <w:r>
        <w:rPr>
          <w:rFonts w:ascii="仿宋_GB2312" w:hAnsi="仿宋_GB2312" w:cs="仿宋_GB2312" w:eastAsia="仿宋_GB2312"/>
        </w:rPr>
        <w:t>7、落实政府采购政策需满足的资格要求：本项目专门面向中小企业采购，供应商应为中小微企业或监狱企业或残疾人福利性单位。评审依据：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评审依据：竞争性磋商响应文件中所附证明材料</w:t>
      </w:r>
    </w:p>
    <w:p>
      <w:pPr>
        <w:pStyle w:val="null3"/>
      </w:pPr>
      <w:r>
        <w:rPr>
          <w:rFonts w:ascii="仿宋_GB2312" w:hAnsi="仿宋_GB2312" w:cs="仿宋_GB2312" w:eastAsia="仿宋_GB2312"/>
        </w:rPr>
        <w:t>8、法定代表人（或负责人）身份证明/法定代表人（或负责人）授权委托书：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评审依据：竞争性磋商响应文件所附证明材料原件为准</w:t>
      </w:r>
    </w:p>
    <w:p>
      <w:pPr>
        <w:pStyle w:val="null3"/>
      </w:pPr>
      <w:r>
        <w:rPr>
          <w:rFonts w:ascii="仿宋_GB2312" w:hAnsi="仿宋_GB2312" w:cs="仿宋_GB2312" w:eastAsia="仿宋_GB2312"/>
        </w:rPr>
        <w:t>9、信用记录：供应商不得为“信用中国”网站（www.creditchina.gov.cn）中列入失信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提供《供应商信用记录书面声明函》（按格式填写，提供原件）。经查，供应商未被列入“信用中国”网站记录的“失信被执行人”或“重大税收违法案件当事人”名单；不处于“中国政府采购网”记录的“政府采购严重违法失信行为记录名单”中的禁止参加政府采购活动期间。评审依据：竞争性磋商响应文件中所附证明材料及网查信息为准</w:t>
      </w:r>
    </w:p>
    <w:p>
      <w:pPr>
        <w:pStyle w:val="null3"/>
      </w:pPr>
      <w:r>
        <w:rPr>
          <w:rFonts w:ascii="仿宋_GB2312" w:hAnsi="仿宋_GB2312" w:cs="仿宋_GB2312" w:eastAsia="仿宋_GB2312"/>
        </w:rPr>
        <w:t>10、控股管理关系：单位负责人为同一人或者存在直接控股、管理关系的供应商，不得参加同一合同下的政府采购活动。评审依据：竞争性磋商响应文件中所附证明材料为准</w:t>
      </w:r>
    </w:p>
    <w:p>
      <w:pPr>
        <w:pStyle w:val="null3"/>
      </w:pPr>
      <w:r>
        <w:rPr>
          <w:rFonts w:ascii="仿宋_GB2312" w:hAnsi="仿宋_GB2312" w:cs="仿宋_GB2312" w:eastAsia="仿宋_GB2312"/>
        </w:rPr>
        <w:t>11、供应商书面声明：供应商未为本项目提供整体设计、规范编制或者项目管理、监理、检测等服务的书面声明。评审依据：竞争性磋商响应文件中所附证明材料为准</w:t>
      </w:r>
    </w:p>
    <w:p>
      <w:pPr>
        <w:pStyle w:val="null3"/>
      </w:pPr>
      <w:r>
        <w:rPr>
          <w:rFonts w:ascii="仿宋_GB2312" w:hAnsi="仿宋_GB2312" w:cs="仿宋_GB2312" w:eastAsia="仿宋_GB2312"/>
        </w:rPr>
        <w:t>12、供应商参与磋商的承诺函：符合竞争性磋商文件要求。评审依据：竞争性磋商响应文件中所附证明材料为准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西安市长安区郭杜街道文苑中路120号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85910601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陕西省西安市雁塔区科技二路71号竹园天寰国际1807室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樊睿、刘晨星、寻宇超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029-88811335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左崇伟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取标准：参照国家计委颁发的《招标代理服务收费管理暂行办法》（计价格[2002]1980号）和国家发展和改革委员会办公厅颁发的《关于招标代理服务收费有关问题的通知》（发改办价格[2003]857号）的有关规定标准收取。 招标代理服务费公布方式：代理服务费金额将在成交公告中明确，成交单位在领取成交通知书前，须向采购代理机构一次性支付招标代理服务费。 代理服务费账户信息： 户 名：陕西正明项目管理有限公司 开户行：中国民生银行股份有限公司西安枫林绿洲支行 账 号：170455461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西安市长安区医院</w:t>
      </w:r>
      <w:r>
        <w:rPr>
          <w:rFonts w:ascii="仿宋_GB2312" w:hAnsi="仿宋_GB2312" w:cs="仿宋_GB2312" w:eastAsia="仿宋_GB2312"/>
        </w:rPr>
        <w:t>和</w:t>
      </w:r>
      <w:r>
        <w:rPr>
          <w:rFonts w:ascii="仿宋_GB2312" w:hAnsi="仿宋_GB2312" w:cs="仿宋_GB2312" w:eastAsia="仿宋_GB2312"/>
        </w:rPr>
        <w:t>陕西正明项目管理有限公司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按照采购文件、响应文件及合同文本执行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联系人：樊睿、刘晨星、寻宇超</w:t>
      </w:r>
    </w:p>
    <w:p>
      <w:pPr>
        <w:pStyle w:val="null3"/>
      </w:pPr>
      <w:r>
        <w:rPr>
          <w:rFonts w:ascii="仿宋_GB2312" w:hAnsi="仿宋_GB2312" w:cs="仿宋_GB2312" w:eastAsia="仿宋_GB2312"/>
        </w:rPr>
        <w:t>联系电话：029-88811335</w:t>
      </w:r>
    </w:p>
    <w:p>
      <w:pPr>
        <w:pStyle w:val="null3"/>
      </w:pPr>
      <w:r>
        <w:rPr>
          <w:rFonts w:ascii="仿宋_GB2312" w:hAnsi="仿宋_GB2312" w:cs="仿宋_GB2312" w:eastAsia="仿宋_GB2312"/>
        </w:rPr>
        <w:t>地址：陕西省西安市雁塔区科技二路71号竹园天寰国际1807室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自2019年12月起，国家药物临床试验机构由以前的注册制转为备案制，采用线上备案+现场检查的形式，通过标准更加严格。为保证我院相关临床专业科室国家局备案通过率，需第三方机构提供国家局备案相关的技术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540,000.00</w:t>
      </w:r>
    </w:p>
    <w:p>
      <w:pPr>
        <w:pStyle w:val="null3"/>
      </w:pPr>
      <w:r>
        <w:rPr>
          <w:rFonts w:ascii="仿宋_GB2312" w:hAnsi="仿宋_GB2312" w:cs="仿宋_GB2312" w:eastAsia="仿宋_GB2312"/>
        </w:rPr>
        <w:t>采购包最高限价（元）: 540,000.00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药物临床试验机构备案第三方公司服务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540,000.00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标的名称：药物临床试验机构备案第三方公司服务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92"/>
            </w:tblGrid>
            <w:tr>
              <w:tc>
                <w:tcPr>
                  <w:tcW w:type="dxa" w:w="18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负责医院药物、医疗器械临床试验机构相关人员的培训考核；辅导医院完成临床试验机构</w:t>
                  </w:r>
                  <w:r>
                    <w:rPr>
                      <w:rFonts w:ascii="仿宋_GB2312" w:hAnsi="仿宋_GB2312" w:cs="仿宋_GB2312" w:eastAsia="仿宋_GB2312"/>
                      <w:sz w:val="20"/>
                    </w:rPr>
                    <w:t>、伦理委员会</w:t>
                  </w:r>
                  <w:r>
                    <w:rPr>
                      <w:rFonts w:ascii="仿宋_GB2312" w:hAnsi="仿宋_GB2312" w:cs="仿宋_GB2312" w:eastAsia="仿宋_GB2312"/>
                      <w:sz w:val="20"/>
                    </w:rPr>
                    <w:t>及备案专业科室的体系建设；协助医院进行机构备案的网上申报、评审直至申报成功并取得备案号，对取得批复后，后期运营过程中存在的GCP项目相关问题，给予建议。</w:t>
                  </w:r>
                </w:p>
                <w:p>
                  <w:pPr>
                    <w:pStyle w:val="null3"/>
                    <w:jc w:val="both"/>
                  </w:pPr>
                  <w:r>
                    <w:rPr>
                      <w:rFonts w:ascii="仿宋_GB2312" w:hAnsi="仿宋_GB2312" w:cs="仿宋_GB2312" w:eastAsia="仿宋_GB2312"/>
                      <w:sz w:val="20"/>
                    </w:rPr>
                    <w:t>具体服务内容如下：</w:t>
                  </w:r>
                </w:p>
                <w:tbl>
                  <w:tblPr>
                    <w:tblBorders>
                      <w:top w:val="none" w:color="000000" w:sz="4"/>
                      <w:left w:val="none" w:color="000000" w:sz="4"/>
                      <w:bottom w:val="none" w:color="000000" w:sz="4"/>
                      <w:right w:val="none" w:color="000000" w:sz="4"/>
                      <w:insideH w:val="none"/>
                      <w:insideV w:val="none"/>
                    </w:tblBorders>
                  </w:tblPr>
                  <w:tblGrid>
                    <w:gridCol w:w="323"/>
                    <w:gridCol w:w="505"/>
                    <w:gridCol w:w="842"/>
                  </w:tblGrid>
                  <w:tr>
                    <w:tc>
                      <w:tcPr>
                        <w:tcW w:type="dxa" w:w="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服务类别</w:t>
                        </w:r>
                      </w:p>
                    </w:tc>
                    <w:tc>
                      <w:tcPr>
                        <w:tcW w:type="dxa" w:w="1347"/>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具体内容</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一、项目管理</w:t>
                        </w: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制定临床试验机构备案项目管理计划，开项目启动会</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日常工作跟进</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1.每周一制定本周工作计划</w:t>
                        </w:r>
                      </w:p>
                      <w:p>
                        <w:pPr>
                          <w:pStyle w:val="null3"/>
                          <w:jc w:val="both"/>
                        </w:pPr>
                        <w:r>
                          <w:rPr>
                            <w:rFonts w:ascii="仿宋_GB2312" w:hAnsi="仿宋_GB2312" w:cs="仿宋_GB2312" w:eastAsia="仿宋_GB2312"/>
                            <w:sz w:val="20"/>
                          </w:rPr>
                          <w:t>2.每周五跟进完成情况</w:t>
                        </w:r>
                      </w:p>
                      <w:p>
                        <w:pPr>
                          <w:pStyle w:val="null3"/>
                          <w:jc w:val="both"/>
                        </w:pPr>
                        <w:r>
                          <w:rPr>
                            <w:rFonts w:ascii="仿宋_GB2312" w:hAnsi="仿宋_GB2312" w:cs="仿宋_GB2312" w:eastAsia="仿宋_GB2312"/>
                            <w:sz w:val="20"/>
                          </w:rPr>
                          <w:t>3.日常跟进疑问并解答院方问题</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二、组织架构完善</w:t>
                        </w: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查看院方现有人员架构文件，根据现有人员架构提供调整意见及红头文件模板，完善组织架构搭建</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w:t>
                        </w:r>
                        <w:r>
                          <w:rPr>
                            <w:rFonts w:ascii="仿宋_GB2312" w:hAnsi="仿宋_GB2312" w:cs="仿宋_GB2312" w:eastAsia="仿宋_GB2312"/>
                            <w:sz w:val="20"/>
                          </w:rPr>
                          <w:t>场地设施建设</w:t>
                        </w: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提供《临床试验机构场地设施建设意见》及《临床试验机构建设硬件采购清单建议》，协助院方完成硬件采购</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现场查看协助确定场地规划，确保场地符合GCP建设要求</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四、制度体系建设</w:t>
                        </w:r>
                      </w:p>
                    </w:tc>
                    <w:tc>
                      <w:tcPr>
                        <w:tcW w:type="dxa" w:w="5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药物临床试验机构刺度体系建设</w:t>
                        </w:r>
                      </w:p>
                    </w:tc>
                    <w:tc>
                      <w:tcPr>
                        <w:tcW w:type="dxa" w:w="8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专人跟进制度修改情况，搜集反馈的问题</w:t>
                        </w:r>
                      </w:p>
                    </w:tc>
                  </w:tr>
                  <w:tr>
                    <w:tc>
                      <w:tcPr>
                        <w:tcW w:type="dxa" w:w="323"/>
                        <w:vMerge/>
                        <w:tcBorders>
                          <w:top w:val="none" w:color="000000" w:sz="4"/>
                          <w:left w:val="single" w:color="000000" w:sz="4"/>
                          <w:bottom w:val="single" w:color="000000" w:sz="4"/>
                          <w:right w:val="single" w:color="000000" w:sz="4"/>
                        </w:tcBorders>
                      </w:tcPr>
                      <w:p/>
                    </w:tc>
                    <w:tc>
                      <w:tcPr>
                        <w:tcW w:type="dxa" w:w="505"/>
                        <w:vMerge/>
                        <w:tcBorders>
                          <w:top w:val="none" w:color="000000" w:sz="4"/>
                          <w:left w:val="single" w:color="000000" w:sz="4"/>
                          <w:bottom w:val="single" w:color="000000" w:sz="4"/>
                          <w:right w:val="single" w:color="000000" w:sz="4"/>
                        </w:tcBorders>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根据院方意见，修改制度文件，完成制度本地化建设</w:t>
                        </w:r>
                      </w:p>
                    </w:tc>
                  </w:tr>
                  <w:tr>
                    <w:tc>
                      <w:tcPr>
                        <w:tcW w:type="dxa" w:w="323"/>
                        <w:vMerge/>
                        <w:tcBorders>
                          <w:top w:val="none" w:color="000000" w:sz="4"/>
                          <w:left w:val="single" w:color="000000" w:sz="4"/>
                          <w:bottom w:val="single" w:color="000000" w:sz="4"/>
                          <w:right w:val="single" w:color="000000" w:sz="4"/>
                        </w:tcBorders>
                      </w:tcPr>
                      <w:p/>
                    </w:tc>
                    <w:tc>
                      <w:tcPr>
                        <w:tcW w:type="dxa" w:w="5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医疗器械临床试验机构制度体系建设</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专人跟进制度修改情况，搜集反馈的问题</w:t>
                        </w:r>
                      </w:p>
                    </w:tc>
                  </w:tr>
                  <w:tr>
                    <w:tc>
                      <w:tcPr>
                        <w:tcW w:type="dxa" w:w="323"/>
                        <w:vMerge/>
                        <w:tcBorders>
                          <w:top w:val="none" w:color="000000" w:sz="4"/>
                          <w:left w:val="single" w:color="000000" w:sz="4"/>
                          <w:bottom w:val="single" w:color="000000" w:sz="4"/>
                          <w:right w:val="single" w:color="000000" w:sz="4"/>
                        </w:tcBorders>
                      </w:tcPr>
                      <w:p/>
                    </w:tc>
                    <w:tc>
                      <w:tcPr>
                        <w:tcW w:type="dxa" w:w="505"/>
                        <w:vMerge/>
                        <w:tcBorders>
                          <w:top w:val="none" w:color="000000" w:sz="4"/>
                          <w:left w:val="single" w:color="000000" w:sz="4"/>
                          <w:bottom w:val="single" w:color="000000" w:sz="4"/>
                          <w:right w:val="single" w:color="000000" w:sz="4"/>
                        </w:tcBorders>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根据院方意见，修改制度文件，完成制度本地化</w:t>
                        </w:r>
                        <w:r>
                          <w:rPr>
                            <w:rFonts w:ascii="仿宋_GB2312" w:hAnsi="仿宋_GB2312" w:cs="仿宋_GB2312" w:eastAsia="仿宋_GB2312"/>
                            <w:sz w:val="20"/>
                          </w:rPr>
                          <w:t>建设</w:t>
                        </w:r>
                      </w:p>
                    </w:tc>
                  </w:tr>
                  <w:tr>
                    <w:tc>
                      <w:tcPr>
                        <w:tcW w:type="dxa" w:w="323"/>
                        <w:vMerge/>
                        <w:tcBorders>
                          <w:top w:val="none" w:color="000000" w:sz="4"/>
                          <w:left w:val="single" w:color="000000" w:sz="4"/>
                          <w:bottom w:val="single" w:color="000000" w:sz="4"/>
                          <w:right w:val="single" w:color="000000" w:sz="4"/>
                        </w:tcBorders>
                      </w:tcPr>
                      <w:p/>
                    </w:tc>
                    <w:tc>
                      <w:tcPr>
                        <w:tcW w:type="dxa" w:w="5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临床试验伦理委员会制度体系(含药物和器械)建设</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专人跟进制度修改情况，搜集反馈的问题</w:t>
                        </w:r>
                      </w:p>
                    </w:tc>
                  </w:tr>
                  <w:tr>
                    <w:tc>
                      <w:tcPr>
                        <w:tcW w:type="dxa" w:w="323"/>
                        <w:vMerge/>
                        <w:tcBorders>
                          <w:top w:val="none" w:color="000000" w:sz="4"/>
                          <w:left w:val="single" w:color="000000" w:sz="4"/>
                          <w:bottom w:val="single" w:color="000000" w:sz="4"/>
                          <w:right w:val="single" w:color="000000" w:sz="4"/>
                        </w:tcBorders>
                      </w:tcPr>
                      <w:p/>
                    </w:tc>
                    <w:tc>
                      <w:tcPr>
                        <w:tcW w:type="dxa" w:w="505"/>
                        <w:vMerge/>
                        <w:tcBorders>
                          <w:top w:val="none" w:color="000000" w:sz="4"/>
                          <w:left w:val="single" w:color="000000" w:sz="4"/>
                          <w:bottom w:val="single" w:color="000000" w:sz="4"/>
                          <w:right w:val="single" w:color="000000" w:sz="4"/>
                        </w:tcBorders>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根据院方意见，修改制度文件，完成制度本</w:t>
                        </w:r>
                        <w:r>
                          <w:rPr>
                            <w:rFonts w:ascii="仿宋_GB2312" w:hAnsi="仿宋_GB2312" w:cs="仿宋_GB2312" w:eastAsia="仿宋_GB2312"/>
                            <w:sz w:val="20"/>
                          </w:rPr>
                          <w:t>地化建设</w:t>
                        </w:r>
                      </w:p>
                    </w:tc>
                  </w:tr>
                  <w:tr>
                    <w:tc>
                      <w:tcPr>
                        <w:tcW w:type="dxa" w:w="323"/>
                        <w:vMerge/>
                        <w:tcBorders>
                          <w:top w:val="none" w:color="000000" w:sz="4"/>
                          <w:left w:val="single" w:color="000000" w:sz="4"/>
                          <w:bottom w:val="single" w:color="000000" w:sz="4"/>
                          <w:right w:val="single" w:color="000000" w:sz="4"/>
                        </w:tcBorders>
                      </w:tcPr>
                      <w:p/>
                    </w:tc>
                    <w:tc>
                      <w:tcPr>
                        <w:tcW w:type="dxa" w:w="5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专业科室(4个药物和4个器械专业)制度体系建设</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专人跟进制度修改情况，搜集反馈的问题</w:t>
                        </w:r>
                      </w:p>
                    </w:tc>
                  </w:tr>
                  <w:tr>
                    <w:tc>
                      <w:tcPr>
                        <w:tcW w:type="dxa" w:w="323"/>
                        <w:vMerge/>
                        <w:tcBorders>
                          <w:top w:val="none" w:color="000000" w:sz="4"/>
                          <w:left w:val="single" w:color="000000" w:sz="4"/>
                          <w:bottom w:val="single" w:color="000000" w:sz="4"/>
                          <w:right w:val="single" w:color="000000" w:sz="4"/>
                        </w:tcBorders>
                      </w:tcPr>
                      <w:p/>
                    </w:tc>
                    <w:tc>
                      <w:tcPr>
                        <w:tcW w:type="dxa" w:w="505"/>
                        <w:vMerge/>
                        <w:tcBorders>
                          <w:top w:val="none" w:color="000000" w:sz="4"/>
                          <w:left w:val="single" w:color="000000" w:sz="4"/>
                          <w:bottom w:val="single" w:color="000000" w:sz="4"/>
                          <w:right w:val="single" w:color="000000" w:sz="4"/>
                        </w:tcBorders>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根据院方意见，修改制度文件，完成制度本地化建设</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五、培训体系建设</w:t>
                        </w:r>
                      </w:p>
                    </w:tc>
                    <w:tc>
                      <w:tcPr>
                        <w:tcW w:type="dxa" w:w="5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制度培训体系</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临床试验机构制度基础培训及考核</w:t>
                        </w:r>
                      </w:p>
                    </w:tc>
                  </w:tr>
                  <w:tr>
                    <w:tc>
                      <w:tcPr>
                        <w:tcW w:type="dxa" w:w="323"/>
                        <w:vMerge/>
                        <w:tcBorders>
                          <w:top w:val="none" w:color="000000" w:sz="4"/>
                          <w:left w:val="single" w:color="000000" w:sz="4"/>
                          <w:bottom w:val="single" w:color="000000" w:sz="4"/>
                          <w:right w:val="single" w:color="000000" w:sz="4"/>
                        </w:tcBorders>
                      </w:tcPr>
                      <w:p/>
                    </w:tc>
                    <w:tc>
                      <w:tcPr>
                        <w:tcW w:type="dxa" w:w="505"/>
                        <w:vMerge/>
                        <w:tcBorders>
                          <w:top w:val="none" w:color="000000" w:sz="4"/>
                          <w:left w:val="single" w:color="000000" w:sz="4"/>
                          <w:bottom w:val="single" w:color="000000" w:sz="4"/>
                          <w:right w:val="single" w:color="000000" w:sz="4"/>
                        </w:tcBorders>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临床试验伦理委员会制度基础培训及考核</w:t>
                        </w:r>
                      </w:p>
                    </w:tc>
                  </w:tr>
                  <w:tr>
                    <w:tc>
                      <w:tcPr>
                        <w:tcW w:type="dxa" w:w="323"/>
                        <w:vMerge/>
                        <w:tcBorders>
                          <w:top w:val="none" w:color="000000" w:sz="4"/>
                          <w:left w:val="single" w:color="000000" w:sz="4"/>
                          <w:bottom w:val="single" w:color="000000" w:sz="4"/>
                          <w:right w:val="single" w:color="000000" w:sz="4"/>
                        </w:tcBorders>
                      </w:tcPr>
                      <w:p/>
                    </w:tc>
                    <w:tc>
                      <w:tcPr>
                        <w:tcW w:type="dxa" w:w="505"/>
                        <w:vMerge/>
                        <w:tcBorders>
                          <w:top w:val="none" w:color="000000" w:sz="4"/>
                          <w:left w:val="single" w:color="000000" w:sz="4"/>
                          <w:bottom w:val="single" w:color="000000" w:sz="4"/>
                          <w:right w:val="single" w:color="000000" w:sz="4"/>
                        </w:tcBorders>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专业科室制度基础培训及考核</w:t>
                        </w:r>
                      </w:p>
                    </w:tc>
                  </w:tr>
                  <w:tr>
                    <w:tc>
                      <w:tcPr>
                        <w:tcW w:type="dxa" w:w="323"/>
                        <w:vMerge/>
                        <w:tcBorders>
                          <w:top w:val="none" w:color="000000" w:sz="4"/>
                          <w:left w:val="single" w:color="000000" w:sz="4"/>
                          <w:bottom w:val="single" w:color="000000" w:sz="4"/>
                          <w:right w:val="single" w:color="000000" w:sz="4"/>
                        </w:tcBorders>
                      </w:tcPr>
                      <w:p/>
                    </w:tc>
                    <w:tc>
                      <w:tcPr>
                        <w:tcW w:type="dxa" w:w="505"/>
                        <w:vMerge/>
                        <w:tcBorders>
                          <w:top w:val="none" w:color="000000" w:sz="4"/>
                          <w:left w:val="single" w:color="000000" w:sz="4"/>
                          <w:bottom w:val="single" w:color="000000" w:sz="4"/>
                          <w:right w:val="single" w:color="000000" w:sz="4"/>
                        </w:tcBorders>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临床试验机构、临床试验伦理委员会及专业科室制度强化培训及考核</w:t>
                        </w:r>
                      </w:p>
                    </w:tc>
                  </w:tr>
                  <w:tr>
                    <w:tc>
                      <w:tcPr>
                        <w:tcW w:type="dxa" w:w="323"/>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法规学习指导</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提供现行版法规政策文件，如备案期间有重要法规更新，及时提供答疑服务</w:t>
                        </w:r>
                      </w:p>
                    </w:tc>
                  </w:tr>
                  <w:tr>
                    <w:tc>
                      <w:tcPr>
                        <w:tcW w:type="dxa" w:w="323"/>
                        <w:vMerge/>
                        <w:tcBorders>
                          <w:top w:val="none" w:color="000000" w:sz="4"/>
                          <w:left w:val="single" w:color="000000" w:sz="4"/>
                          <w:bottom w:val="single" w:color="000000" w:sz="4"/>
                          <w:right w:val="single" w:color="000000" w:sz="4"/>
                        </w:tcBorders>
                      </w:tcPr>
                      <w:p/>
                    </w:tc>
                    <w:tc>
                      <w:tcPr>
                        <w:tcW w:type="dxa" w:w="5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迎检培训</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药物备案迎检前现场预检查及检查反馈整</w:t>
                        </w:r>
                        <w:r>
                          <w:rPr>
                            <w:rFonts w:ascii="仿宋_GB2312" w:hAnsi="仿宋_GB2312" w:cs="仿宋_GB2312" w:eastAsia="仿宋_GB2312"/>
                            <w:sz w:val="20"/>
                          </w:rPr>
                          <w:t>改</w:t>
                        </w:r>
                      </w:p>
                    </w:tc>
                  </w:tr>
                  <w:tr>
                    <w:tc>
                      <w:tcPr>
                        <w:tcW w:type="dxa" w:w="323"/>
                        <w:vMerge/>
                        <w:tcBorders>
                          <w:top w:val="none" w:color="000000" w:sz="4"/>
                          <w:left w:val="single" w:color="000000" w:sz="4"/>
                          <w:bottom w:val="single" w:color="000000" w:sz="4"/>
                          <w:right w:val="single" w:color="000000" w:sz="4"/>
                        </w:tcBorders>
                      </w:tcPr>
                      <w:p/>
                    </w:tc>
                    <w:tc>
                      <w:tcPr>
                        <w:tcW w:type="dxa" w:w="505"/>
                        <w:vMerge/>
                        <w:tcBorders>
                          <w:top w:val="none" w:color="000000" w:sz="4"/>
                          <w:left w:val="single" w:color="000000" w:sz="4"/>
                          <w:bottom w:val="single" w:color="000000" w:sz="4"/>
                          <w:right w:val="single" w:color="000000" w:sz="4"/>
                        </w:tcBorders>
                      </w:tcP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医疗器械备案迎检前现场预检查及检查反馈整改</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六、备案注册</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临床试验伦理委员会在“医学研究登记备案信息系统“中备案</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协助准备备案所需资料，解答备案中疑问</w:t>
                        </w:r>
                      </w:p>
                    </w:tc>
                  </w:tr>
                  <w:tr>
                    <w:tc>
                      <w:tcPr>
                        <w:tcW w:type="dxa" w:w="323"/>
                        <w:vMerge/>
                        <w:tcBorders>
                          <w:top w:val="none" w:color="000000" w:sz="4"/>
                          <w:left w:val="single" w:color="000000" w:sz="4"/>
                          <w:bottom w:val="single" w:color="000000" w:sz="4"/>
                          <w:right w:val="single" w:color="000000" w:sz="4"/>
                        </w:tcBorders>
                      </w:tc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药物和医疗器械备案系统注册</w:t>
                        </w:r>
                      </w:p>
                    </w:tc>
                    <w:tc>
                      <w:tcPr>
                        <w:tcW w:type="dxa" w:w="8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提供备案资料要求文件，协助准备资料，解答备案中疑问</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七、GCP/伦理审查证</w:t>
                        </w:r>
                        <w:r>
                          <w:rPr>
                            <w:rFonts w:ascii="仿宋_GB2312" w:hAnsi="仿宋_GB2312" w:cs="仿宋_GB2312" w:eastAsia="仿宋_GB2312"/>
                            <w:sz w:val="20"/>
                          </w:rPr>
                          <w:t>书</w:t>
                        </w: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协助参加GCP培训并获取GCP证书(省级学会证书，满足备案</w:t>
                        </w:r>
                        <w:r>
                          <w:rPr>
                            <w:rFonts w:ascii="仿宋_GB2312" w:hAnsi="仿宋_GB2312" w:cs="仿宋_GB2312" w:eastAsia="仿宋_GB2312"/>
                            <w:sz w:val="20"/>
                          </w:rPr>
                          <w:t>需求）</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协助参加GCP培训并获取GCP证书(省级学会证书，满足备案</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八、迎检资料整理</w:t>
                        </w: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整理提供管理文件内部培训计划、法规内部培训计划</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质控迎检资料</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提供机构、伦理及专业科室资料准备清单</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提供机构、伦理及专业科室的应知应会手册</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提供机构、伦理、专业组的迎检汇报PPT模板，协助审核</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九、第三方评估</w:t>
                        </w: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到院开展医疗器械临床试验机构评估工作(含机构、伦理、专业科室等)</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到院开展药物临床试验机构评估工作(含机构、伦理、专业科室试验药物管理等)</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协助完成药物/医疗器械临床试验第三方评估整改</w:t>
                        </w:r>
                      </w:p>
                    </w:tc>
                  </w:tr>
                  <w:tr>
                    <w:tc>
                      <w:tcPr>
                        <w:tcW w:type="dxa" w:w="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十、省局检查</w:t>
                        </w: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检查后协助完成整改报告</w:t>
                        </w:r>
                      </w:p>
                    </w:tc>
                  </w:tr>
                  <w:tr>
                    <w:tc>
                      <w:tcPr>
                        <w:tcW w:type="dxa" w:w="3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十一、增值服务</w:t>
                        </w: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提供文件受控系统，提升院方临床试验质量</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前期承接项目提供项目质控服务，协助完成稽查工作</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提供临床试验绩效体系参考，协助院方建立临床试验绩效体系</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备案通过后2年内如有相关政策法规更新，提供管理文件修改建议</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备案通过后一年内引入至少两项药物临床试验项目</w:t>
                        </w:r>
                        <w:r>
                          <w:rPr>
                            <w:rFonts w:ascii="仿宋_GB2312" w:hAnsi="仿宋_GB2312" w:cs="仿宋_GB2312" w:eastAsia="仿宋_GB2312"/>
                            <w:sz w:val="20"/>
                          </w:rPr>
                          <w:t>（</w:t>
                        </w:r>
                        <w:r>
                          <w:rPr>
                            <w:rFonts w:ascii="仿宋_GB2312" w:hAnsi="仿宋_GB2312" w:cs="仿宋_GB2312" w:eastAsia="仿宋_GB2312"/>
                            <w:sz w:val="20"/>
                          </w:rPr>
                          <w:t>引入项目总金额不低于本次招标金额的50%</w:t>
                        </w:r>
                        <w:r>
                          <w:rPr>
                            <w:rFonts w:ascii="仿宋_GB2312" w:hAnsi="仿宋_GB2312" w:cs="仿宋_GB2312" w:eastAsia="仿宋_GB2312"/>
                            <w:sz w:val="20"/>
                          </w:rPr>
                          <w:t>）</w:t>
                        </w:r>
                      </w:p>
                    </w:tc>
                  </w:tr>
                  <w:tr>
                    <w:tc>
                      <w:tcPr>
                        <w:tcW w:type="dxa" w:w="323"/>
                        <w:vMerge/>
                        <w:tcBorders>
                          <w:top w:val="none" w:color="000000" w:sz="4"/>
                          <w:left w:val="single" w:color="000000" w:sz="4"/>
                          <w:bottom w:val="single" w:color="000000" w:sz="4"/>
                          <w:right w:val="single" w:color="000000" w:sz="4"/>
                        </w:tcBorders>
                      </w:tcPr>
                      <w:p/>
                    </w:tc>
                    <w:tc>
                      <w:tcPr>
                        <w:tcW w:type="dxa" w:w="134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提供临床试验项目相关对接活动，增加获取项目机会</w:t>
                        </w:r>
                      </w:p>
                    </w:tc>
                  </w:tr>
                </w:tbl>
                <w:p>
                  <w:pPr>
                    <w:pStyle w:val="null3"/>
                    <w:jc w:val="both"/>
                  </w:pP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供应商须委派专人负责本项目推进，服务团队专业技术人员不少于5人。1人为项目经理，4人为技术工作人员。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由供应商根据项目需求配置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1、本项目实施过程中成交供应商服务团队能按需提供现场服务，提供专业咨询和解决方案，提高决策及执行效率。 2、成交供应商协助完成临床试验机构筹建工作、8个专业科室（4个药物专业+4个器械专业）的备案准备工作。 3、在国家药监局网站的医疗器械/药物机构备案系统中可查询到本院备案号并通过省局检查后，视为医疗器械/药物临床试验机构备案成功。 4、免费服务期满后，安排至少一个技术人员提供GCP技术咨询服务（电话、QQ、网络等方式）后期运营过程中存在的GCP项目相关问题，给予建议。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备案成功后提供GCP免费服务两年，全流程服务。成交供应商应在半年内完成本次项目备案服务，如因药物临床试验机构备案制政策变更、检查周期过长或甲方场地、设备未完善等原因未能在服务期内完成服务任务的，可由双方协商，适当延长服务期限直至该项目结束，任务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甲乙双方正式签订合同后，财务入账后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药物临床试验机构备案迎检4个专业通过后，财务入账后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器械临床试验机构备案迎检4个专业通过后，财务入账后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备案后一年内协助推荐2个临床试验项目，项目总金额不低于本次合同总金额的50%，并且2个项目均在院方签合同立项后，财务入账后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采购包1： 1、合同违约责任按《中华人民共和国政府采购法》中的相关条款执行。 2、供应商未全面履行合同义务或发生违约，采购人有权终止合同，并依法向供应商进行经济索赔。 3、其他违约责任依据《中华人民共和国民法典》、《中华人民共和国政府采购法》、《中华人民共和国政府采购法实施条例》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所有资格证明文件及业绩证明文件原件备查，于开标当天递交至采购代理机构。</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提供有效存续的企业营业执照（副本）/事业单位法人证书/专业服务机构执业许可证/民办非企业单位登记证书/自然人身份证明；评审依据：竞争性磋商响应文件中所附证明材料为准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经审计资质单位出具的2023年度或2024年度的财务审计报告，成立时间至提交竞争性磋商响应文件截止时间不足一年的可提供成立后任意时段的资产负债表；或其开标前六个月内基本存款账户开户银行出具的资信证明。（以上两种形式的资料提供任何一种即可）；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首次磋商响应文件递交截止时间前1年内任意时段的社会保障资金缴存单据或社保机构开具的社会保险参保缴费情况证明，依法不需要缴纳社会保障资金的单位应提供相关证明材料；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提供具有履行合同所必需的设备和专业技术能力的承诺；评审依据：竞争性磋商响应文件中所附证明材料为准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本项目专门面向中小企业采购，供应商应为中小微企业或监狱企业或残疾人福利性单位。评审依据：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评审依据：竞争性磋商响应文件中所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法定代表人（或负责人）身份证明/法定代表人（或负责人）授权委托书</w:t>
            </w:r>
          </w:p>
        </w:tc>
        <w:tc>
          <w:tcPr>
            <w:tcW w:type="dxa" w:w="3322"/>
          </w:tcPr>
          <w:p>
            <w:pPr>
              <w:pStyle w:val="null3"/>
            </w:pPr>
            <w:r>
              <w:rPr>
                <w:rFonts w:ascii="仿宋_GB2312" w:hAnsi="仿宋_GB2312" w:cs="仿宋_GB2312" w:eastAsia="仿宋_GB2312"/>
              </w:rPr>
              <w:t>法定代表人（或负责人）身份证明/法定代表人（或负责人）授权委托书：法定代表人（或负责人）直接参加磋商的，须提供法定代表人（或负责人）身份证明及其身份证电子件或扫描件；法定代表人（或负责人）授权他人参加磋商的，须提供法定代表人（或负责人）授权委托书（附法定代表人（或负责人）、被授权人身份证电子件或扫描件）。评审依据：竞争性磋商响应文件所附证明材料原件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提供《供应商信用记录书面声明函》（按格式填写，提供原件）。经查，供应商未被列入“信用中国”网站记录的“失信被执行人”或“重大税收违法案件当事人”名单；不处于“中国政府采购网”记录的“政府采购严重违法失信行为记录名单”中的禁止参加政府采购活动期间。评审依据：竞争性磋商响应文件中所附证明材料及网查信息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供应商书面声明</w:t>
            </w:r>
          </w:p>
        </w:tc>
        <w:tc>
          <w:tcPr>
            <w:tcW w:type="dxa" w:w="3322"/>
          </w:tcPr>
          <w:p>
            <w:pPr>
              <w:pStyle w:val="null3"/>
            </w:pPr>
            <w:r>
              <w:rPr>
                <w:rFonts w:ascii="仿宋_GB2312" w:hAnsi="仿宋_GB2312" w:cs="仿宋_GB2312" w:eastAsia="仿宋_GB2312"/>
              </w:rPr>
              <w:t>供应商未为本项目提供整体设计、规范编制或者项目管理、监理、检测等服务的书面声明。评审依据：竞争性磋商响应文件中所附证明材料为准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供应商参与磋商的承诺函</w:t>
            </w:r>
          </w:p>
        </w:tc>
        <w:tc>
          <w:tcPr>
            <w:tcW w:type="dxa" w:w="3322"/>
          </w:tcPr>
          <w:p>
            <w:pPr>
              <w:pStyle w:val="null3"/>
            </w:pPr>
            <w:r>
              <w:rPr>
                <w:rFonts w:ascii="仿宋_GB2312" w:hAnsi="仿宋_GB2312" w:cs="仿宋_GB2312" w:eastAsia="仿宋_GB2312"/>
              </w:rPr>
              <w:t>符合竞争性磋商文件要求。评审依据：竞争性磋商响应文件中所附证明材料为准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竞争性磋商响应文件的签署盖章</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响应文件封面 标的清单 符合性证明文件.docx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w:t>
            </w:r>
          </w:p>
        </w:tc>
        <w:tc>
          <w:tcPr>
            <w:tcW w:type="dxa" w:w="1661"/>
          </w:tcPr>
          <w:p>
            <w:pPr>
              <w:pStyle w:val="null3"/>
            </w:pPr>
            <w:r>
              <w:rPr>
                <w:rFonts w:ascii="仿宋_GB2312" w:hAnsi="仿宋_GB2312" w:cs="仿宋_GB2312" w:eastAsia="仿宋_GB2312"/>
              </w:rPr>
              <w:t>标的清单 符合性证明文件.docx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有效报价</w:t>
            </w:r>
          </w:p>
        </w:tc>
        <w:tc>
          <w:tcPr>
            <w:tcW w:type="dxa" w:w="3322"/>
          </w:tcPr>
          <w:p>
            <w:pPr>
              <w:pStyle w:val="null3"/>
            </w:pPr>
            <w:r>
              <w:rPr>
                <w:rFonts w:ascii="仿宋_GB2312" w:hAnsi="仿宋_GB2312" w:cs="仿宋_GB2312" w:eastAsia="仿宋_GB2312"/>
              </w:rPr>
              <w:t>不得超过采购文件给定的限价</w:t>
            </w:r>
          </w:p>
        </w:tc>
        <w:tc>
          <w:tcPr>
            <w:tcW w:type="dxa" w:w="1661"/>
          </w:tcPr>
          <w:p>
            <w:pPr>
              <w:pStyle w:val="null3"/>
            </w:pPr>
            <w:r>
              <w:rPr>
                <w:rFonts w:ascii="仿宋_GB2312" w:hAnsi="仿宋_GB2312" w:cs="仿宋_GB2312" w:eastAsia="仿宋_GB2312"/>
              </w:rPr>
              <w:t>标的清单 符合性证明文件.docx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标的清单 符合性证明文件.docx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符合竞争性磋商文件要求</w:t>
            </w:r>
          </w:p>
        </w:tc>
        <w:tc>
          <w:tcPr>
            <w:tcW w:type="dxa" w:w="1661"/>
          </w:tcPr>
          <w:p>
            <w:pPr>
              <w:pStyle w:val="null3"/>
            </w:pPr>
            <w:r>
              <w:rPr>
                <w:rFonts w:ascii="仿宋_GB2312" w:hAnsi="仿宋_GB2312" w:cs="仿宋_GB2312" w:eastAsia="仿宋_GB2312"/>
              </w:rPr>
              <w:t>符合性证明文件.docx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无其他竞争性磋商文件或法律法规明确规定响应无效的事项</w:t>
            </w:r>
          </w:p>
        </w:tc>
        <w:tc>
          <w:tcPr>
            <w:tcW w:type="dxa" w:w="3322"/>
          </w:tcPr>
          <w:p>
            <w:pPr>
              <w:pStyle w:val="null3"/>
            </w:pPr>
            <w:r>
              <w:rPr>
                <w:rFonts w:ascii="仿宋_GB2312" w:hAnsi="仿宋_GB2312" w:cs="仿宋_GB2312" w:eastAsia="仿宋_GB2312"/>
              </w:rPr>
              <w:t>没有不符合竞争性磋商文件及法律法规规定的被视为无效响应的其他条款</w:t>
            </w:r>
          </w:p>
        </w:tc>
        <w:tc>
          <w:tcPr>
            <w:tcW w:type="dxa" w:w="1661"/>
          </w:tcPr>
          <w:p>
            <w:pPr>
              <w:pStyle w:val="null3"/>
            </w:pPr>
            <w:r>
              <w:rPr>
                <w:rFonts w:ascii="仿宋_GB2312" w:hAnsi="仿宋_GB2312" w:cs="仿宋_GB2312" w:eastAsia="仿宋_GB2312"/>
              </w:rPr>
              <w:t>响应文件封面 磋商响应方案.docx 标的清单 符合性证明文件.docx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项目管理方案</w:t>
            </w:r>
          </w:p>
        </w:tc>
        <w:tc>
          <w:tcPr>
            <w:tcW w:type="dxa" w:w="2492"/>
          </w:tcPr>
          <w:p>
            <w:pPr>
              <w:pStyle w:val="null3"/>
            </w:pPr>
            <w:r>
              <w:rPr>
                <w:rFonts w:ascii="仿宋_GB2312" w:hAnsi="仿宋_GB2312" w:cs="仿宋_GB2312" w:eastAsia="仿宋_GB2312"/>
              </w:rPr>
              <w:t>针对本项目有切实可行的项目管理方案。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组织架构完善方案</w:t>
            </w:r>
          </w:p>
        </w:tc>
        <w:tc>
          <w:tcPr>
            <w:tcW w:type="dxa" w:w="2492"/>
          </w:tcPr>
          <w:p>
            <w:pPr>
              <w:pStyle w:val="null3"/>
            </w:pPr>
            <w:r>
              <w:rPr>
                <w:rFonts w:ascii="仿宋_GB2312" w:hAnsi="仿宋_GB2312" w:cs="仿宋_GB2312" w:eastAsia="仿宋_GB2312"/>
              </w:rPr>
              <w:t>针对本项目有切实可行的组织架构完善方案。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场地设施建设方案</w:t>
            </w:r>
          </w:p>
        </w:tc>
        <w:tc>
          <w:tcPr>
            <w:tcW w:type="dxa" w:w="2492"/>
          </w:tcPr>
          <w:p>
            <w:pPr>
              <w:pStyle w:val="null3"/>
            </w:pPr>
            <w:r>
              <w:rPr>
                <w:rFonts w:ascii="仿宋_GB2312" w:hAnsi="仿宋_GB2312" w:cs="仿宋_GB2312" w:eastAsia="仿宋_GB2312"/>
              </w:rPr>
              <w:t>针对本项目有切实可行的场地设施建设方案。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制度体系建设方案</w:t>
            </w:r>
          </w:p>
        </w:tc>
        <w:tc>
          <w:tcPr>
            <w:tcW w:type="dxa" w:w="2492"/>
          </w:tcPr>
          <w:p>
            <w:pPr>
              <w:pStyle w:val="null3"/>
            </w:pPr>
            <w:r>
              <w:rPr>
                <w:rFonts w:ascii="仿宋_GB2312" w:hAnsi="仿宋_GB2312" w:cs="仿宋_GB2312" w:eastAsia="仿宋_GB2312"/>
              </w:rPr>
              <w:t>针对本项目有切实可行的制度体系建设方案。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培训体系建设方案</w:t>
            </w:r>
          </w:p>
        </w:tc>
        <w:tc>
          <w:tcPr>
            <w:tcW w:type="dxa" w:w="2492"/>
          </w:tcPr>
          <w:p>
            <w:pPr>
              <w:pStyle w:val="null3"/>
            </w:pPr>
            <w:r>
              <w:rPr>
                <w:rFonts w:ascii="仿宋_GB2312" w:hAnsi="仿宋_GB2312" w:cs="仿宋_GB2312" w:eastAsia="仿宋_GB2312"/>
              </w:rPr>
              <w:t>针对本项目有切实可行的培训体系建设方案。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备案注册方案</w:t>
            </w:r>
          </w:p>
        </w:tc>
        <w:tc>
          <w:tcPr>
            <w:tcW w:type="dxa" w:w="2492"/>
          </w:tcPr>
          <w:p>
            <w:pPr>
              <w:pStyle w:val="null3"/>
            </w:pPr>
            <w:r>
              <w:rPr>
                <w:rFonts w:ascii="仿宋_GB2312" w:hAnsi="仿宋_GB2312" w:cs="仿宋_GB2312" w:eastAsia="仿宋_GB2312"/>
              </w:rPr>
              <w:t>针对本项目有切实可行的备案注册方案。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GCP/伦理审查证书方案</w:t>
            </w:r>
          </w:p>
        </w:tc>
        <w:tc>
          <w:tcPr>
            <w:tcW w:type="dxa" w:w="2492"/>
          </w:tcPr>
          <w:p>
            <w:pPr>
              <w:pStyle w:val="null3"/>
            </w:pPr>
            <w:r>
              <w:rPr>
                <w:rFonts w:ascii="仿宋_GB2312" w:hAnsi="仿宋_GB2312" w:cs="仿宋_GB2312" w:eastAsia="仿宋_GB2312"/>
              </w:rPr>
              <w:t>针对本项目有切实可行的GCP/伦理审查证书方案。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迎检资料整理方案</w:t>
            </w:r>
          </w:p>
        </w:tc>
        <w:tc>
          <w:tcPr>
            <w:tcW w:type="dxa" w:w="2492"/>
          </w:tcPr>
          <w:p>
            <w:pPr>
              <w:pStyle w:val="null3"/>
            </w:pPr>
            <w:r>
              <w:rPr>
                <w:rFonts w:ascii="仿宋_GB2312" w:hAnsi="仿宋_GB2312" w:cs="仿宋_GB2312" w:eastAsia="仿宋_GB2312"/>
              </w:rPr>
              <w:t>针对本项目有切实可行的迎检资料整理方案。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第三方评估方案</w:t>
            </w:r>
          </w:p>
        </w:tc>
        <w:tc>
          <w:tcPr>
            <w:tcW w:type="dxa" w:w="2492"/>
          </w:tcPr>
          <w:p>
            <w:pPr>
              <w:pStyle w:val="null3"/>
            </w:pPr>
            <w:r>
              <w:rPr>
                <w:rFonts w:ascii="仿宋_GB2312" w:hAnsi="仿宋_GB2312" w:cs="仿宋_GB2312" w:eastAsia="仿宋_GB2312"/>
              </w:rPr>
              <w:t>针对本项目有切实可行的第三方评估方案。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省局检查协助方案</w:t>
            </w:r>
          </w:p>
        </w:tc>
        <w:tc>
          <w:tcPr>
            <w:tcW w:type="dxa" w:w="2492"/>
          </w:tcPr>
          <w:p>
            <w:pPr>
              <w:pStyle w:val="null3"/>
            </w:pPr>
            <w:r>
              <w:rPr>
                <w:rFonts w:ascii="仿宋_GB2312" w:hAnsi="仿宋_GB2312" w:cs="仿宋_GB2312" w:eastAsia="仿宋_GB2312"/>
              </w:rPr>
              <w:t>针对本项目有切实可行的省局检查协助方案。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增值服务方案</w:t>
            </w:r>
          </w:p>
        </w:tc>
        <w:tc>
          <w:tcPr>
            <w:tcW w:type="dxa" w:w="2492"/>
          </w:tcPr>
          <w:p>
            <w:pPr>
              <w:pStyle w:val="null3"/>
            </w:pPr>
            <w:r>
              <w:rPr>
                <w:rFonts w:ascii="仿宋_GB2312" w:hAnsi="仿宋_GB2312" w:cs="仿宋_GB2312" w:eastAsia="仿宋_GB2312"/>
              </w:rPr>
              <w:t>针对本项目有切实可行的增值服务方案。 方案全面、具体，科学合理，可行性强，得6分； 方案相对全面、具体、科学，可行性相对较强，得5分； 方案基本全面、具体，有一定的可行性，得4分； 方案不够全面、具体，可行性相对较弱，得3分； 方案笼统，可行性有待考究的，得2分； 方案不全面、具体，可行性较差，得1分； 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拟投入项目管理团队组成人员</w:t>
            </w:r>
          </w:p>
        </w:tc>
        <w:tc>
          <w:tcPr>
            <w:tcW w:type="dxa" w:w="2492"/>
          </w:tcPr>
          <w:p>
            <w:pPr>
              <w:pStyle w:val="null3"/>
            </w:pPr>
            <w:r>
              <w:rPr>
                <w:rFonts w:ascii="仿宋_GB2312" w:hAnsi="仿宋_GB2312" w:cs="仿宋_GB2312" w:eastAsia="仿宋_GB2312"/>
              </w:rPr>
              <w:t>针对本项目拟投入项目管理团队组成人员进行评审； 针对本项目拟投入项目管理团队组成人员配备结构合理，人员配备齐全，责任明确，相关佐证材料齐全得5分； 针对本项目拟投入项目管理团队组成人员配备结构基本合理，人员配备基本齐全，责任基本明确，有相关佐证材料得4分； 针对本项目拟投入项目管理团队组成人员配备结构不够合理，人员配备不够齐全，责任不太明确，相关佐证材料缺失得3分； 针对本项目拟投入项目管理团队组成人员配备结构不合理，人员配备不齐全，责任不明确，相关佐证材料缺失得2分； 针对本项目拟投入项目管理团队组成人员配备内容笼统，可行性有待考究的，得1分； 无内容不得分。 备注：相关佐证材料为拟投入本项目管理团队组成人员的相关履历证明材料（相关履历证明材料包括人员简介，学历证及职业资格证书或岗位证等）</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针对本项目，提供切实可行的服务质量保证措施。 措施详细完整、可行性、针对性强，能高质量的确保项目服务质量，得6分； 保障措施比较完整，可行性及针对性较强以保证项目质量，得5分； 保障措施相对完整，有一定的可行性及针对性以保证项目质量，得4分； 保障措施基本完整、可行，得3分； 保障措施简略、可行性存在不足，得2分； 保障措施存在漏洞、合理性、可行性差，得1分；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服务进度的保证措施</w:t>
            </w:r>
          </w:p>
        </w:tc>
        <w:tc>
          <w:tcPr>
            <w:tcW w:type="dxa" w:w="2492"/>
          </w:tcPr>
          <w:p>
            <w:pPr>
              <w:pStyle w:val="null3"/>
            </w:pPr>
            <w:r>
              <w:rPr>
                <w:rFonts w:ascii="仿宋_GB2312" w:hAnsi="仿宋_GB2312" w:cs="仿宋_GB2312" w:eastAsia="仿宋_GB2312"/>
              </w:rPr>
              <w:t>针对本项目，提供切实可行的服务进度的保证措施。 措施详细完整、可行性、针对性强，能高质量的确保项目服务质量，得6分； 保障措施比较完整，可行性及针对性较强以保证项目质量，得5分； 保障措施相对完整，有一定的可行性及针对性以保证项目质量，得4分； 保障措施基本完整、可行，得3分； 保障措施简略、可行性存在不足，得2分； 保障措施存在漏洞、合理性、可行性差，得1分；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针对本项目具有科学、合理、可行的保密措施，保证采购人的相关信息不被泄漏， 保密措施完整、合理，可操作性强得4 分； 保密措施比较完整，可操作性较强得3分； 保密措施基本完整，有一定可操作性得2分； 保密措施不够完整，可操作性差得1分； 未提供相关内容不得分。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磋商响应方案.docx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供应商自2022年1月1日以来承接过类似项目的业绩证明，以合同复印件或扫描件为准；每提供一个得1分，满分3分。弄虚作假者取消其成交资格。</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磋商响应方案.docx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1、经初审合格的竞争性磋商响应文件，其磋商报价为有效磋商报价。 2、满足竞争性磋商文件实质性要求且最终报价最低的供应商的价格为磋商基准价，其价格分为满分10分。 3、磋商报价得分=（磋商基准价/最终磋商报价）×10。4、磋商报价不完整的，不进入磋商基准价的计算，本项得0分。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符合性证明文件.docx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详见附件：符合性证明文件.docx</w:t>
      </w:r>
    </w:p>
    <w:p>
      <w:pPr>
        <w:pStyle w:val="null3"/>
        <w:ind w:firstLine="960"/>
      </w:pPr>
      <w:r>
        <w:rPr>
          <w:rFonts w:ascii="仿宋_GB2312" w:hAnsi="仿宋_GB2312" w:cs="仿宋_GB2312" w:eastAsia="仿宋_GB2312"/>
        </w:rPr>
        <w:t>详见附件：磋商响应方案.docx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