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4B7B3">
      <w:pPr>
        <w:spacing w:line="560" w:lineRule="exact"/>
        <w:rPr>
          <w:rFonts w:hint="eastAsia" w:ascii="仿宋" w:hAnsi="仿宋" w:eastAsia="仿宋" w:cs="仿宋"/>
          <w:b/>
          <w:bCs/>
          <w:sz w:val="24"/>
        </w:rPr>
      </w:pPr>
    </w:p>
    <w:p w14:paraId="75AA7684">
      <w:pPr>
        <w:rPr>
          <w:rFonts w:hint="eastAsia" w:ascii="仿宋" w:hAnsi="仿宋" w:eastAsia="仿宋" w:cs="仿宋"/>
          <w:b/>
          <w:sz w:val="28"/>
          <w:szCs w:val="28"/>
        </w:rPr>
      </w:pPr>
      <w:r>
        <w:rPr>
          <w:rFonts w:hint="eastAsia" w:ascii="仿宋" w:hAnsi="仿宋" w:eastAsia="仿宋" w:cs="仿宋"/>
          <w:b/>
          <w:sz w:val="28"/>
          <w:szCs w:val="28"/>
        </w:rPr>
        <w:t>合同编号：</w:t>
      </w:r>
    </w:p>
    <w:p w14:paraId="616F430C">
      <w:pPr>
        <w:ind w:firstLine="964"/>
        <w:jc w:val="center"/>
        <w:rPr>
          <w:rFonts w:hint="eastAsia" w:ascii="宋体" w:hAnsi="宋体" w:cs="宋体"/>
          <w:b/>
          <w:snapToGrid w:val="0"/>
          <w:sz w:val="48"/>
          <w:szCs w:val="48"/>
        </w:rPr>
      </w:pPr>
    </w:p>
    <w:p w14:paraId="125BCFAB">
      <w:pPr>
        <w:pStyle w:val="12"/>
        <w:rPr>
          <w:rFonts w:hint="eastAsia" w:ascii="仿宋" w:hAnsi="仿宋" w:eastAsia="仿宋" w:cs="仿宋"/>
          <w:b/>
          <w:snapToGrid w:val="0"/>
          <w:sz w:val="48"/>
          <w:szCs w:val="48"/>
        </w:rPr>
      </w:pPr>
      <w:r>
        <w:rPr>
          <w:rFonts w:hint="eastAsia" w:ascii="仿宋" w:hAnsi="仿宋" w:eastAsia="仿宋" w:cs="仿宋"/>
          <w:b/>
          <w:snapToGrid w:val="0"/>
          <w:sz w:val="48"/>
          <w:szCs w:val="48"/>
        </w:rPr>
        <w:t>药物临床试验机构备案第三方公司服务</w:t>
      </w:r>
    </w:p>
    <w:p w14:paraId="2C5E8298">
      <w:pPr>
        <w:pStyle w:val="12"/>
        <w:rPr>
          <w:rFonts w:hint="eastAsia" w:ascii="宋体" w:hAnsi="宋体" w:cs="宋体"/>
          <w:b/>
          <w:snapToGrid w:val="0"/>
          <w:sz w:val="48"/>
          <w:szCs w:val="48"/>
        </w:rPr>
      </w:pPr>
    </w:p>
    <w:p w14:paraId="22A49CDF">
      <w:pPr>
        <w:pStyle w:val="12"/>
        <w:rPr>
          <w:rFonts w:hint="eastAsia" w:ascii="宋体" w:hAnsi="宋体" w:cs="宋体"/>
          <w:b/>
          <w:snapToGrid w:val="0"/>
          <w:sz w:val="48"/>
          <w:szCs w:val="48"/>
        </w:rPr>
      </w:pPr>
    </w:p>
    <w:p w14:paraId="3C72648D">
      <w:pPr>
        <w:pStyle w:val="12"/>
        <w:rPr>
          <w:rFonts w:hint="eastAsia" w:ascii="宋体" w:hAnsi="宋体" w:cs="宋体"/>
          <w:b/>
          <w:snapToGrid w:val="0"/>
          <w:sz w:val="48"/>
          <w:szCs w:val="48"/>
        </w:rPr>
      </w:pPr>
    </w:p>
    <w:p w14:paraId="3A0AAF1E">
      <w:pPr>
        <w:jc w:val="center"/>
        <w:rPr>
          <w:rFonts w:hint="eastAsia" w:ascii="仿宋" w:hAnsi="仿宋" w:eastAsia="仿宋" w:cs="仿宋"/>
          <w:b/>
          <w:sz w:val="72"/>
          <w:szCs w:val="72"/>
        </w:rPr>
      </w:pPr>
      <w:r>
        <w:rPr>
          <w:rFonts w:hint="eastAsia" w:ascii="仿宋" w:hAnsi="仿宋" w:eastAsia="仿宋" w:cs="仿宋"/>
          <w:b/>
          <w:sz w:val="72"/>
          <w:szCs w:val="72"/>
        </w:rPr>
        <w:t>服 务 合 同</w:t>
      </w:r>
    </w:p>
    <w:p w14:paraId="6C02571E">
      <w:pPr>
        <w:ind w:firstLine="600"/>
        <w:jc w:val="center"/>
        <w:rPr>
          <w:rFonts w:hint="eastAsia" w:ascii="宋体" w:hAnsi="宋体" w:cs="宋体"/>
          <w:sz w:val="30"/>
          <w:szCs w:val="30"/>
        </w:rPr>
      </w:pPr>
    </w:p>
    <w:p w14:paraId="350864BD">
      <w:pPr>
        <w:pStyle w:val="2"/>
        <w:rPr>
          <w:rFonts w:hint="eastAsia" w:ascii="宋体" w:hAnsi="宋体" w:cs="宋体"/>
          <w:sz w:val="30"/>
          <w:szCs w:val="30"/>
        </w:rPr>
      </w:pPr>
    </w:p>
    <w:p w14:paraId="5C886C80">
      <w:pPr>
        <w:pStyle w:val="2"/>
        <w:rPr>
          <w:rFonts w:hint="eastAsia" w:ascii="宋体" w:hAnsi="宋体" w:cs="宋体"/>
          <w:sz w:val="30"/>
          <w:szCs w:val="30"/>
        </w:rPr>
      </w:pPr>
    </w:p>
    <w:p w14:paraId="1FC63436">
      <w:pPr>
        <w:pStyle w:val="2"/>
        <w:rPr>
          <w:rFonts w:hint="eastAsia" w:ascii="宋体" w:hAnsi="宋体" w:cs="宋体"/>
          <w:sz w:val="30"/>
          <w:szCs w:val="30"/>
        </w:rPr>
      </w:pPr>
    </w:p>
    <w:p w14:paraId="0F5EAC32">
      <w:pPr>
        <w:pStyle w:val="2"/>
        <w:rPr>
          <w:rFonts w:hint="eastAsia" w:ascii="宋体" w:hAnsi="宋体" w:cs="宋体"/>
          <w:sz w:val="30"/>
          <w:szCs w:val="30"/>
        </w:rPr>
      </w:pPr>
    </w:p>
    <w:p w14:paraId="03C45865">
      <w:pPr>
        <w:spacing w:line="360" w:lineRule="auto"/>
        <w:rPr>
          <w:rFonts w:hint="eastAsia" w:ascii="仿宋" w:hAnsi="仿宋" w:eastAsia="仿宋" w:cs="仿宋"/>
          <w:sz w:val="24"/>
        </w:rPr>
      </w:pPr>
    </w:p>
    <w:p w14:paraId="447F7C73">
      <w:pPr>
        <w:spacing w:line="360" w:lineRule="auto"/>
        <w:rPr>
          <w:rFonts w:hint="eastAsia" w:ascii="仿宋" w:hAnsi="仿宋" w:eastAsia="仿宋" w:cs="仿宋"/>
          <w:sz w:val="24"/>
        </w:rPr>
      </w:pPr>
    </w:p>
    <w:p w14:paraId="021970B9">
      <w:pPr>
        <w:spacing w:line="360" w:lineRule="auto"/>
        <w:rPr>
          <w:rFonts w:hint="eastAsia" w:ascii="仿宋" w:hAnsi="仿宋" w:eastAsia="仿宋" w:cs="仿宋"/>
          <w:sz w:val="24"/>
        </w:rPr>
      </w:pPr>
    </w:p>
    <w:p w14:paraId="532AD4B6">
      <w:pPr>
        <w:spacing w:line="360" w:lineRule="auto"/>
        <w:rPr>
          <w:rFonts w:hint="eastAsia" w:ascii="仿宋" w:hAnsi="仿宋" w:eastAsia="仿宋" w:cs="仿宋"/>
          <w:sz w:val="24"/>
        </w:rPr>
      </w:pPr>
    </w:p>
    <w:p w14:paraId="1B69B57D">
      <w:pPr>
        <w:spacing w:line="720" w:lineRule="auto"/>
        <w:rPr>
          <w:rFonts w:hint="eastAsia" w:ascii="仿宋" w:hAnsi="仿宋" w:eastAsia="仿宋" w:cs="仿宋"/>
          <w:sz w:val="24"/>
        </w:rPr>
      </w:pPr>
    </w:p>
    <w:p w14:paraId="7E897382">
      <w:pPr>
        <w:spacing w:line="720" w:lineRule="auto"/>
        <w:ind w:firstLine="1920" w:firstLineChars="800"/>
        <w:rPr>
          <w:rFonts w:ascii="仿宋" w:hAnsi="仿宋" w:eastAsia="仿宋" w:cs="仿宋"/>
          <w:sz w:val="24"/>
        </w:rPr>
      </w:pPr>
      <w:r>
        <w:rPr>
          <w:rFonts w:hint="eastAsia" w:ascii="仿宋" w:hAnsi="仿宋" w:eastAsia="仿宋" w:cs="仿宋"/>
          <w:sz w:val="24"/>
        </w:rPr>
        <w:t>甲方：</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5C87C0C8">
      <w:pPr>
        <w:spacing w:line="720" w:lineRule="auto"/>
        <w:ind w:firstLine="1920" w:firstLineChars="800"/>
        <w:rPr>
          <w:rFonts w:hint="eastAsia" w:ascii="仿宋" w:hAnsi="仿宋" w:eastAsia="仿宋" w:cs="仿宋"/>
          <w:sz w:val="24"/>
        </w:rPr>
      </w:pPr>
      <w:r>
        <w:rPr>
          <w:rFonts w:hint="eastAsia" w:ascii="仿宋" w:hAnsi="仿宋" w:eastAsia="仿宋" w:cs="仿宋"/>
          <w:sz w:val="24"/>
        </w:rPr>
        <w:t>乙方：</w:t>
      </w:r>
      <w:r>
        <w:rPr>
          <w:rFonts w:hint="eastAsia" w:ascii="仿宋" w:hAnsi="仿宋" w:eastAsia="仿宋" w:cs="仿宋"/>
          <w:sz w:val="24"/>
          <w:u w:val="single"/>
        </w:rPr>
        <w:t xml:space="preserve">                             </w:t>
      </w:r>
    </w:p>
    <w:p w14:paraId="549E89A8">
      <w:pPr>
        <w:spacing w:line="720" w:lineRule="auto"/>
        <w:ind w:firstLine="4080" w:firstLineChars="1700"/>
        <w:rPr>
          <w:rFonts w:hint="eastAsia" w:ascii="仿宋" w:hAnsi="仿宋" w:eastAsia="仿宋" w:cs="仿宋"/>
          <w:sz w:val="24"/>
        </w:rPr>
      </w:pPr>
      <w:r>
        <w:rPr>
          <w:rFonts w:hint="eastAsia" w:ascii="仿宋" w:hAnsi="仿宋" w:eastAsia="仿宋" w:cs="仿宋"/>
          <w:sz w:val="24"/>
        </w:rPr>
        <w:t>年  月  日</w:t>
      </w:r>
    </w:p>
    <w:p w14:paraId="2EF3228F">
      <w:pPr>
        <w:spacing w:line="720" w:lineRule="auto"/>
        <w:ind w:firstLine="4080" w:firstLineChars="1700"/>
        <w:rPr>
          <w:rFonts w:hint="eastAsia" w:ascii="仿宋" w:hAnsi="仿宋" w:eastAsia="仿宋" w:cs="仿宋"/>
          <w:sz w:val="24"/>
        </w:rPr>
      </w:pPr>
    </w:p>
    <w:p w14:paraId="7B884264">
      <w:pPr>
        <w:spacing w:line="360" w:lineRule="auto"/>
        <w:rPr>
          <w:rFonts w:hint="eastAsia" w:ascii="仿宋" w:hAnsi="仿宋" w:eastAsia="仿宋" w:cs="仿宋"/>
          <w:sz w:val="24"/>
        </w:rPr>
      </w:pPr>
      <w:r>
        <w:rPr>
          <w:rFonts w:hint="eastAsia" w:ascii="仿宋" w:hAnsi="仿宋" w:eastAsia="仿宋" w:cs="仿宋"/>
          <w:sz w:val="24"/>
        </w:rPr>
        <w:t>甲方（采购人）：</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2B56388">
      <w:pPr>
        <w:spacing w:line="360" w:lineRule="auto"/>
        <w:rPr>
          <w:rFonts w:hint="eastAsia" w:ascii="仿宋" w:hAnsi="仿宋" w:eastAsia="仿宋" w:cs="仿宋"/>
          <w:sz w:val="24"/>
        </w:rPr>
      </w:pPr>
      <w:r>
        <w:rPr>
          <w:rFonts w:hint="eastAsia" w:ascii="仿宋" w:hAnsi="仿宋" w:eastAsia="仿宋" w:cs="仿宋"/>
          <w:sz w:val="24"/>
        </w:rPr>
        <w:t>乙方（成交供应商）：</w:t>
      </w:r>
      <w:r>
        <w:rPr>
          <w:rFonts w:hint="eastAsia" w:ascii="仿宋" w:hAnsi="仿宋" w:eastAsia="仿宋" w:cs="仿宋"/>
          <w:sz w:val="24"/>
          <w:u w:val="single"/>
        </w:rPr>
        <w:t xml:space="preserve">                             </w:t>
      </w:r>
    </w:p>
    <w:p w14:paraId="7037ADAB">
      <w:pPr>
        <w:pStyle w:val="3"/>
        <w:spacing w:after="0" w:line="360" w:lineRule="auto"/>
        <w:ind w:firstLine="480" w:firstLineChars="200"/>
        <w:jc w:val="left"/>
        <w:rPr>
          <w:rFonts w:hint="eastAsia" w:ascii="仿宋" w:hAnsi="仿宋" w:eastAsia="仿宋" w:cs="仿宋"/>
          <w:sz w:val="24"/>
        </w:rPr>
      </w:pPr>
      <w:r>
        <w:rPr>
          <w:rFonts w:hint="eastAsia" w:ascii="仿宋" w:hAnsi="仿宋" w:eastAsia="仿宋" w:cs="仿宋"/>
          <w:sz w:val="24"/>
        </w:rPr>
        <w:t>依据《中华人民共和国民法典》、《中华人民共和国政府采购法》等相关法律法规，以及药物临床试验机构备案第三方公司服务（项目编号：SXZM-CS-2025025）的《竞争性磋商文件》，乙方的《竞争性磋商响应文件》及《成交通知书》，经双方协商，本着平等互利和诚实信用的原则，一致同意签订本合同。本项目的《竞争性磋商文件》、《竞争性磋商响应文件》、《成交通知书》等均为本合同的组成部分。</w:t>
      </w:r>
    </w:p>
    <w:p w14:paraId="064B4841">
      <w:pPr>
        <w:pStyle w:val="11"/>
        <w:ind w:firstLine="480"/>
        <w:jc w:val="both"/>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一、项目概况</w:t>
      </w:r>
    </w:p>
    <w:p w14:paraId="5A8CB74A">
      <w:pPr>
        <w:pStyle w:val="3"/>
        <w:spacing w:after="0"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项目名称：</w:t>
      </w:r>
      <w:r>
        <w:rPr>
          <w:rFonts w:hint="eastAsia" w:ascii="仿宋" w:hAnsi="仿宋" w:eastAsia="仿宋" w:cs="仿宋"/>
          <w:sz w:val="24"/>
        </w:rPr>
        <w:t>药物临床试验机构备案第三方公司服务</w:t>
      </w:r>
    </w:p>
    <w:p w14:paraId="0501E762">
      <w:pPr>
        <w:pStyle w:val="11"/>
        <w:ind w:firstLine="480"/>
        <w:jc w:val="both"/>
        <w:rPr>
          <w:rFonts w:hint="eastAsia" w:ascii="仿宋" w:hAnsi="仿宋" w:eastAsia="仿宋" w:cs="仿宋"/>
          <w:sz w:val="28"/>
          <w:szCs w:val="28"/>
          <w:lang w:eastAsia="zh-CN"/>
        </w:rPr>
      </w:pPr>
      <w:r>
        <w:rPr>
          <w:rFonts w:hint="eastAsia" w:ascii="仿宋" w:hAnsi="仿宋" w:eastAsia="仿宋" w:cs="仿宋"/>
          <w:b/>
          <w:sz w:val="28"/>
          <w:szCs w:val="28"/>
        </w:rPr>
        <w:t>二、服务</w:t>
      </w:r>
      <w:r>
        <w:rPr>
          <w:rFonts w:hint="eastAsia" w:ascii="仿宋" w:hAnsi="仿宋" w:eastAsia="仿宋" w:cs="仿宋"/>
          <w:b/>
          <w:sz w:val="28"/>
          <w:szCs w:val="28"/>
          <w:lang w:val="en-US" w:eastAsia="zh-CN"/>
        </w:rPr>
        <w:t>范围</w:t>
      </w:r>
    </w:p>
    <w:p w14:paraId="69E30FA2">
      <w:pPr>
        <w:pStyle w:val="3"/>
        <w:spacing w:after="0"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负责医院药物、医疗器械临床试验机构相关人员的培训考核；辅导医院完成临床试验机构、伦理委员会及备案专业科室的体系建设；协助医院进行机构备案的网上申报、评审直至申报成功并取得备案号，对取得批复后，后期运营过程中存在的GCP项目相关问题，给予建议。</w:t>
      </w:r>
    </w:p>
    <w:p w14:paraId="57495FF7">
      <w:pPr>
        <w:pStyle w:val="3"/>
        <w:spacing w:after="0" w:line="360" w:lineRule="auto"/>
        <w:ind w:firstLine="480" w:firstLineChars="200"/>
        <w:jc w:val="left"/>
        <w:rPr>
          <w:rFonts w:hint="eastAsia" w:ascii="仿宋" w:hAnsi="仿宋" w:eastAsia="仿宋" w:cs="仿宋"/>
          <w:sz w:val="24"/>
          <w:lang w:val="en-US" w:eastAsia="zh-CN"/>
        </w:rPr>
      </w:pPr>
      <w:r>
        <w:rPr>
          <w:rFonts w:hint="eastAsia" w:ascii="仿宋" w:hAnsi="仿宋" w:eastAsia="仿宋" w:cs="仿宋"/>
          <w:sz w:val="24"/>
          <w:lang w:val="en-US" w:eastAsia="zh-CN"/>
        </w:rPr>
        <w:t>具体服务内容如下：</w:t>
      </w:r>
    </w:p>
    <w:tbl>
      <w:tblPr>
        <w:tblStyle w:val="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6"/>
        <w:gridCol w:w="2582"/>
        <w:gridCol w:w="4292"/>
      </w:tblGrid>
      <w:tr w14:paraId="3B233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966" w:type="pct"/>
            <w:vAlign w:val="center"/>
          </w:tcPr>
          <w:p w14:paraId="01459A3D">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sz w:val="20"/>
                <w:szCs w:val="20"/>
                <w:vertAlign w:val="baseline"/>
              </w:rPr>
            </w:pPr>
            <w:r>
              <w:rPr>
                <w:rFonts w:hint="eastAsia" w:ascii="仿宋" w:hAnsi="仿宋" w:eastAsia="仿宋" w:cs="仿宋"/>
                <w:b/>
                <w:bCs w:val="0"/>
                <w:sz w:val="20"/>
                <w:szCs w:val="20"/>
                <w:vertAlign w:val="baseline"/>
              </w:rPr>
              <w:t>服务类别</w:t>
            </w:r>
          </w:p>
        </w:tc>
        <w:tc>
          <w:tcPr>
            <w:tcW w:w="4033" w:type="pct"/>
            <w:gridSpan w:val="2"/>
            <w:vAlign w:val="center"/>
          </w:tcPr>
          <w:p w14:paraId="70951266">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bCs w:val="0"/>
                <w:sz w:val="20"/>
                <w:szCs w:val="20"/>
                <w:vertAlign w:val="baseline"/>
              </w:rPr>
            </w:pPr>
            <w:r>
              <w:rPr>
                <w:rFonts w:hint="eastAsia" w:ascii="仿宋" w:hAnsi="仿宋" w:eastAsia="仿宋" w:cs="仿宋"/>
                <w:b/>
                <w:bCs w:val="0"/>
                <w:sz w:val="20"/>
                <w:szCs w:val="20"/>
                <w:vertAlign w:val="baseline"/>
              </w:rPr>
              <w:t>具体内容</w:t>
            </w:r>
          </w:p>
        </w:tc>
      </w:tr>
      <w:tr w14:paraId="2CCDF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Align w:val="center"/>
          </w:tcPr>
          <w:p w14:paraId="160A9F8C">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一、项目管理</w:t>
            </w:r>
          </w:p>
        </w:tc>
        <w:tc>
          <w:tcPr>
            <w:tcW w:w="4033" w:type="pct"/>
            <w:gridSpan w:val="2"/>
            <w:vAlign w:val="center"/>
          </w:tcPr>
          <w:p w14:paraId="7A7BE7CA">
            <w:pPr>
              <w:pStyle w:val="11"/>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制定临床试验机构备案项目管理计划，开项目启动会</w:t>
            </w:r>
          </w:p>
        </w:tc>
      </w:tr>
      <w:tr w14:paraId="40A87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Align w:val="center"/>
          </w:tcPr>
          <w:p w14:paraId="2A0F6142">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Align w:val="center"/>
          </w:tcPr>
          <w:p w14:paraId="3984AA9C">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日常工作跟进</w:t>
            </w:r>
          </w:p>
        </w:tc>
        <w:tc>
          <w:tcPr>
            <w:tcW w:w="2518" w:type="pct"/>
            <w:vAlign w:val="top"/>
          </w:tcPr>
          <w:p w14:paraId="4E8B57E8">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1.每周一制定本周工作计划</w:t>
            </w:r>
          </w:p>
          <w:p w14:paraId="717C2679">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2.每周五跟进完成情况</w:t>
            </w:r>
          </w:p>
          <w:p w14:paraId="5767267F">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3.日常跟进疑问并解答院方问题</w:t>
            </w:r>
          </w:p>
        </w:tc>
      </w:tr>
      <w:tr w14:paraId="19B2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Align w:val="center"/>
          </w:tcPr>
          <w:p w14:paraId="5F407099">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二、组织架构完善</w:t>
            </w:r>
          </w:p>
        </w:tc>
        <w:tc>
          <w:tcPr>
            <w:tcW w:w="4033" w:type="pct"/>
            <w:gridSpan w:val="2"/>
            <w:vAlign w:val="top"/>
          </w:tcPr>
          <w:p w14:paraId="23FFD5D6">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查看院方现有人员架构文件，根据现有人员架构提供调整意见及红头文件模板，完善组织架构搭建</w:t>
            </w:r>
          </w:p>
        </w:tc>
      </w:tr>
      <w:tr w14:paraId="04CB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5758A8C1">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lang w:val="en-US" w:eastAsia="zh-CN"/>
              </w:rPr>
              <w:t>三、</w:t>
            </w:r>
            <w:r>
              <w:rPr>
                <w:rFonts w:hint="eastAsia" w:ascii="仿宋" w:hAnsi="仿宋" w:eastAsia="仿宋" w:cs="仿宋"/>
                <w:b w:val="0"/>
                <w:bCs/>
                <w:sz w:val="20"/>
                <w:szCs w:val="20"/>
                <w:vertAlign w:val="baseline"/>
              </w:rPr>
              <w:t>场地设施建设</w:t>
            </w:r>
          </w:p>
        </w:tc>
        <w:tc>
          <w:tcPr>
            <w:tcW w:w="4033" w:type="pct"/>
            <w:gridSpan w:val="2"/>
            <w:vAlign w:val="top"/>
          </w:tcPr>
          <w:p w14:paraId="642FF9E1">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提供《临床试验机构场地设施建设意见》及《临床试验机构建设硬件采购清单建议》，协助院方完成硬件采购</w:t>
            </w:r>
          </w:p>
        </w:tc>
      </w:tr>
      <w:tr w14:paraId="29C63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037AE272">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top"/>
          </w:tcPr>
          <w:p w14:paraId="37E0A4CA">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现场查看协助确定场地规划，确保场地符合GCP建设要求</w:t>
            </w:r>
          </w:p>
        </w:tc>
      </w:tr>
      <w:tr w14:paraId="40B4F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6AFBA7F9">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四、制度体系建设</w:t>
            </w:r>
          </w:p>
        </w:tc>
        <w:tc>
          <w:tcPr>
            <w:tcW w:w="1515" w:type="pct"/>
            <w:vMerge w:val="restart"/>
            <w:vAlign w:val="center"/>
          </w:tcPr>
          <w:p w14:paraId="737B61B7">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药物临床试验机构刺度体系建设</w:t>
            </w:r>
          </w:p>
        </w:tc>
        <w:tc>
          <w:tcPr>
            <w:tcW w:w="2518" w:type="pct"/>
            <w:vAlign w:val="center"/>
          </w:tcPr>
          <w:p w14:paraId="4FE736B4">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专人跟进制度修改情况，搜集反馈的问题</w:t>
            </w:r>
          </w:p>
        </w:tc>
      </w:tr>
      <w:tr w14:paraId="39F14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23BF6B3B">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02904CA0">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21AE6768">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根据院方意见，修改制度文件，完成制度本地化建设</w:t>
            </w:r>
          </w:p>
        </w:tc>
      </w:tr>
      <w:tr w14:paraId="422A2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11C9DB31">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restart"/>
            <w:vAlign w:val="center"/>
          </w:tcPr>
          <w:p w14:paraId="562F761B">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医疗器械临床试验机构制度体系建设</w:t>
            </w:r>
          </w:p>
        </w:tc>
        <w:tc>
          <w:tcPr>
            <w:tcW w:w="2518" w:type="pct"/>
            <w:vAlign w:val="center"/>
          </w:tcPr>
          <w:p w14:paraId="5A040B43">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专人跟进制度修改情况，搜集反馈的问题</w:t>
            </w:r>
          </w:p>
        </w:tc>
      </w:tr>
      <w:tr w14:paraId="0AA6C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71725CF6">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38F73F7D">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4CF3EDB7">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根据院方意见，修改制度文件，完成制度本地化</w:t>
            </w:r>
            <w:r>
              <w:rPr>
                <w:rFonts w:hint="eastAsia" w:ascii="仿宋" w:hAnsi="仿宋" w:eastAsia="仿宋" w:cs="仿宋"/>
                <w:b w:val="0"/>
                <w:bCs/>
                <w:sz w:val="20"/>
                <w:szCs w:val="20"/>
                <w:vertAlign w:val="baseline"/>
                <w:lang w:val="en-US" w:eastAsia="zh-CN"/>
              </w:rPr>
              <w:t>建设</w:t>
            </w:r>
          </w:p>
        </w:tc>
      </w:tr>
      <w:tr w14:paraId="57D9B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31D1ECD4">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restart"/>
            <w:vAlign w:val="center"/>
          </w:tcPr>
          <w:p w14:paraId="30EDEDA1">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临床试验伦理委员会制度体系(含药物和器械)建设</w:t>
            </w:r>
          </w:p>
        </w:tc>
        <w:tc>
          <w:tcPr>
            <w:tcW w:w="2518" w:type="pct"/>
            <w:vAlign w:val="center"/>
          </w:tcPr>
          <w:p w14:paraId="7E1D3AE2">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专人跟进制度修改情况，搜集反馈的问题</w:t>
            </w:r>
          </w:p>
        </w:tc>
      </w:tr>
      <w:tr w14:paraId="3F58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870F257">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7D2AA48D">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2473694C">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default" w:ascii="仿宋" w:hAnsi="仿宋" w:eastAsia="仿宋" w:cs="仿宋"/>
                <w:b w:val="0"/>
                <w:bCs/>
                <w:sz w:val="20"/>
                <w:szCs w:val="20"/>
                <w:vertAlign w:val="baseline"/>
                <w:lang w:val="en-US" w:eastAsia="zh-CN"/>
              </w:rPr>
            </w:pPr>
            <w:r>
              <w:rPr>
                <w:rFonts w:hint="eastAsia" w:ascii="仿宋" w:hAnsi="仿宋" w:eastAsia="仿宋" w:cs="仿宋"/>
                <w:b w:val="0"/>
                <w:bCs/>
                <w:sz w:val="20"/>
                <w:szCs w:val="20"/>
                <w:vertAlign w:val="baseline"/>
              </w:rPr>
              <w:t>根据院方意见，修改制度文件，完成制度本</w:t>
            </w:r>
            <w:r>
              <w:rPr>
                <w:rFonts w:hint="eastAsia" w:ascii="仿宋" w:hAnsi="仿宋" w:eastAsia="仿宋" w:cs="仿宋"/>
                <w:b w:val="0"/>
                <w:bCs/>
                <w:sz w:val="20"/>
                <w:szCs w:val="20"/>
                <w:vertAlign w:val="baseline"/>
                <w:lang w:val="en-US" w:eastAsia="zh-CN"/>
              </w:rPr>
              <w:t>地化建设</w:t>
            </w:r>
          </w:p>
        </w:tc>
      </w:tr>
      <w:tr w14:paraId="259E3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E68D5C9">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restart"/>
            <w:vAlign w:val="center"/>
          </w:tcPr>
          <w:p w14:paraId="06FA4955">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专业科室(4个药物和4个器械专业)制度体系建设</w:t>
            </w:r>
          </w:p>
        </w:tc>
        <w:tc>
          <w:tcPr>
            <w:tcW w:w="2518" w:type="pct"/>
            <w:vAlign w:val="center"/>
          </w:tcPr>
          <w:p w14:paraId="438D73E4">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专人跟进制度修改情况，搜集反馈的问题</w:t>
            </w:r>
          </w:p>
        </w:tc>
      </w:tr>
      <w:tr w14:paraId="30243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1DE382CD">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07F617B6">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55276AE2">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根据院方意见，修改制度文件，完成制度本地化建设</w:t>
            </w:r>
          </w:p>
        </w:tc>
      </w:tr>
      <w:tr w14:paraId="3418B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1667F27E">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五、培训体系建设</w:t>
            </w:r>
          </w:p>
        </w:tc>
        <w:tc>
          <w:tcPr>
            <w:tcW w:w="1515" w:type="pct"/>
            <w:vMerge w:val="restart"/>
            <w:vAlign w:val="center"/>
          </w:tcPr>
          <w:p w14:paraId="24E10148">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制度培训体系</w:t>
            </w:r>
          </w:p>
        </w:tc>
        <w:tc>
          <w:tcPr>
            <w:tcW w:w="2518" w:type="pct"/>
            <w:vAlign w:val="center"/>
          </w:tcPr>
          <w:p w14:paraId="2CED9B73">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临床试验机构制度基础培训及考核</w:t>
            </w:r>
          </w:p>
        </w:tc>
      </w:tr>
      <w:tr w14:paraId="2D5F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16F652A0">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5D48BD5F">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4CF7B998">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临床试验伦理委员会制度基础培训及考核</w:t>
            </w:r>
          </w:p>
        </w:tc>
      </w:tr>
      <w:tr w14:paraId="7B995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1888F49D">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170E7C2F">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0266CF65">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专业科室制度基础培训及考核</w:t>
            </w:r>
          </w:p>
        </w:tc>
      </w:tr>
      <w:tr w14:paraId="1453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7C4EB952">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1D90C8C2">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5D4F7CBB">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临床试验机构、临床试验伦理委员会及专业科室制度强化培训及考核</w:t>
            </w:r>
          </w:p>
        </w:tc>
      </w:tr>
      <w:tr w14:paraId="4237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540555F1">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Align w:val="center"/>
          </w:tcPr>
          <w:p w14:paraId="11992CCC">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法规学习指导</w:t>
            </w:r>
          </w:p>
        </w:tc>
        <w:tc>
          <w:tcPr>
            <w:tcW w:w="2518" w:type="pct"/>
            <w:vAlign w:val="center"/>
          </w:tcPr>
          <w:p w14:paraId="2037A26B">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提供现行版法规政策文件，如备案期间有重要法规更新，及时提供答疑服务</w:t>
            </w:r>
          </w:p>
        </w:tc>
      </w:tr>
      <w:tr w14:paraId="6B3EA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509C8155">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restart"/>
            <w:vAlign w:val="center"/>
          </w:tcPr>
          <w:p w14:paraId="2E583E96">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迎检培训</w:t>
            </w:r>
          </w:p>
        </w:tc>
        <w:tc>
          <w:tcPr>
            <w:tcW w:w="2518" w:type="pct"/>
            <w:vAlign w:val="center"/>
          </w:tcPr>
          <w:p w14:paraId="1BBBE25A">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lang w:val="en-US" w:eastAsia="zh-CN"/>
              </w:rPr>
            </w:pPr>
            <w:r>
              <w:rPr>
                <w:rFonts w:hint="eastAsia" w:ascii="仿宋" w:hAnsi="仿宋" w:eastAsia="仿宋" w:cs="仿宋"/>
                <w:b w:val="0"/>
                <w:bCs/>
                <w:sz w:val="20"/>
                <w:szCs w:val="20"/>
                <w:vertAlign w:val="baseline"/>
              </w:rPr>
              <w:t>药物备案迎检前现场预检查及检查反馈整</w:t>
            </w:r>
            <w:r>
              <w:rPr>
                <w:rFonts w:hint="eastAsia" w:ascii="仿宋" w:hAnsi="仿宋" w:eastAsia="仿宋" w:cs="仿宋"/>
                <w:b w:val="0"/>
                <w:bCs/>
                <w:sz w:val="20"/>
                <w:szCs w:val="20"/>
                <w:vertAlign w:val="baseline"/>
                <w:lang w:val="en-US" w:eastAsia="zh-CN"/>
              </w:rPr>
              <w:t>改</w:t>
            </w:r>
          </w:p>
        </w:tc>
      </w:tr>
      <w:tr w14:paraId="095D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6C0BF38">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Merge w:val="continue"/>
            <w:vAlign w:val="center"/>
          </w:tcPr>
          <w:p w14:paraId="2F6B84D6">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2518" w:type="pct"/>
            <w:vAlign w:val="center"/>
          </w:tcPr>
          <w:p w14:paraId="353F6FC4">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医疗器械备案迎检前现场预检查及检查反馈整改</w:t>
            </w:r>
          </w:p>
        </w:tc>
      </w:tr>
      <w:tr w14:paraId="34620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6B25D887">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六、备案注册</w:t>
            </w:r>
          </w:p>
        </w:tc>
        <w:tc>
          <w:tcPr>
            <w:tcW w:w="1515" w:type="pct"/>
            <w:vAlign w:val="center"/>
          </w:tcPr>
          <w:p w14:paraId="4E783D72">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临床试验伦理委员会在“医学研究登记备案信息系统“中备案</w:t>
            </w:r>
          </w:p>
        </w:tc>
        <w:tc>
          <w:tcPr>
            <w:tcW w:w="2518" w:type="pct"/>
            <w:vAlign w:val="center"/>
          </w:tcPr>
          <w:p w14:paraId="249C426D">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协助准备备案所需资料，解答备案中疑问</w:t>
            </w:r>
          </w:p>
        </w:tc>
      </w:tr>
      <w:tr w14:paraId="1537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3948E5A3">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1515" w:type="pct"/>
            <w:vAlign w:val="center"/>
          </w:tcPr>
          <w:p w14:paraId="43721601">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药物和医疗器械备案系统注册</w:t>
            </w:r>
          </w:p>
        </w:tc>
        <w:tc>
          <w:tcPr>
            <w:tcW w:w="2518" w:type="pct"/>
            <w:vAlign w:val="center"/>
          </w:tcPr>
          <w:p w14:paraId="4ABD384F">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提供备案资料要求文件，协助准备资料，解答备案中疑问</w:t>
            </w:r>
          </w:p>
        </w:tc>
      </w:tr>
      <w:tr w14:paraId="316E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1AF32110">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lang w:val="en-US" w:eastAsia="zh-CN"/>
              </w:rPr>
            </w:pPr>
            <w:r>
              <w:rPr>
                <w:rFonts w:hint="eastAsia" w:ascii="仿宋" w:hAnsi="仿宋" w:eastAsia="仿宋" w:cs="仿宋"/>
                <w:b w:val="0"/>
                <w:bCs/>
                <w:sz w:val="20"/>
                <w:szCs w:val="20"/>
                <w:vertAlign w:val="baseline"/>
              </w:rPr>
              <w:t>七、GCP/伦理审查证</w:t>
            </w:r>
            <w:r>
              <w:rPr>
                <w:rFonts w:hint="eastAsia" w:ascii="仿宋" w:hAnsi="仿宋" w:eastAsia="仿宋" w:cs="仿宋"/>
                <w:b w:val="0"/>
                <w:bCs/>
                <w:sz w:val="20"/>
                <w:szCs w:val="20"/>
                <w:vertAlign w:val="baseline"/>
                <w:lang w:val="en-US" w:eastAsia="zh-CN"/>
              </w:rPr>
              <w:t>书</w:t>
            </w:r>
          </w:p>
        </w:tc>
        <w:tc>
          <w:tcPr>
            <w:tcW w:w="4033" w:type="pct"/>
            <w:gridSpan w:val="2"/>
            <w:vAlign w:val="top"/>
          </w:tcPr>
          <w:p w14:paraId="0373F88D">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lang w:val="en-US" w:eastAsia="zh-CN"/>
              </w:rPr>
            </w:pPr>
            <w:r>
              <w:rPr>
                <w:rFonts w:hint="eastAsia" w:ascii="仿宋" w:hAnsi="仿宋" w:eastAsia="仿宋" w:cs="仿宋"/>
                <w:b w:val="0"/>
                <w:bCs/>
                <w:sz w:val="20"/>
                <w:szCs w:val="20"/>
                <w:vertAlign w:val="baseline"/>
              </w:rPr>
              <w:t>协助参加GCP培训并获取GCP证书(省级学会证书，满足备案</w:t>
            </w:r>
            <w:r>
              <w:rPr>
                <w:rFonts w:hint="eastAsia" w:ascii="仿宋" w:hAnsi="仿宋" w:eastAsia="仿宋" w:cs="仿宋"/>
                <w:b w:val="0"/>
                <w:bCs/>
                <w:sz w:val="20"/>
                <w:szCs w:val="20"/>
                <w:vertAlign w:val="baseline"/>
                <w:lang w:val="en-US" w:eastAsia="zh-CN"/>
              </w:rPr>
              <w:t>需求）</w:t>
            </w:r>
          </w:p>
        </w:tc>
      </w:tr>
      <w:tr w14:paraId="62FF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14B4518D">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top"/>
          </w:tcPr>
          <w:p w14:paraId="202ADDD4">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协助参加GCP培训并获取GCP证书(省级学会证书，满足备案</w:t>
            </w:r>
          </w:p>
        </w:tc>
      </w:tr>
      <w:tr w14:paraId="45E8B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292E81F3">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八、迎检资料整理</w:t>
            </w:r>
          </w:p>
        </w:tc>
        <w:tc>
          <w:tcPr>
            <w:tcW w:w="4033" w:type="pct"/>
            <w:gridSpan w:val="2"/>
            <w:vAlign w:val="center"/>
          </w:tcPr>
          <w:p w14:paraId="6596E4CD">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整理提供管理文件内部培训计划、法规内部培训计划</w:t>
            </w:r>
          </w:p>
        </w:tc>
      </w:tr>
      <w:tr w14:paraId="38D8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96210F6">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4E9AFC70">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质控迎检资料</w:t>
            </w:r>
          </w:p>
        </w:tc>
      </w:tr>
      <w:tr w14:paraId="7B64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4FBB368">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07F30094">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提供机构、伦理及专业科室资料准备清单</w:t>
            </w:r>
          </w:p>
        </w:tc>
      </w:tr>
      <w:tr w14:paraId="350C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2E1C687">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64654DA1">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提供机构、伦理及专业科室的应知应会手册</w:t>
            </w:r>
          </w:p>
        </w:tc>
      </w:tr>
      <w:tr w14:paraId="2A93E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77F22A10">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03B3C63F">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提供机构、伦理、专业组的迎检汇报PPT模板，协助审核</w:t>
            </w:r>
          </w:p>
        </w:tc>
      </w:tr>
      <w:tr w14:paraId="1510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11744318">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九、第三方评估</w:t>
            </w:r>
          </w:p>
        </w:tc>
        <w:tc>
          <w:tcPr>
            <w:tcW w:w="4033" w:type="pct"/>
            <w:gridSpan w:val="2"/>
            <w:vAlign w:val="center"/>
          </w:tcPr>
          <w:p w14:paraId="06776E49">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到院开展医疗器械临床试验机构评估工作(含机构、伦理、专业科室等)</w:t>
            </w:r>
          </w:p>
        </w:tc>
      </w:tr>
      <w:tr w14:paraId="47E1F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75E1D34">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3E7E280E">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到院开展药物临床试验机构评估工作(含机构、伦理、专业科室试验药物管理等)</w:t>
            </w:r>
          </w:p>
        </w:tc>
      </w:tr>
      <w:tr w14:paraId="733E9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006CF8CA">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42199A16">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协助完成药物/医疗器械临床试验第三方评估整改</w:t>
            </w:r>
          </w:p>
        </w:tc>
      </w:tr>
      <w:tr w14:paraId="4327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Align w:val="center"/>
          </w:tcPr>
          <w:p w14:paraId="38E1EEB1">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十、省局检查</w:t>
            </w:r>
          </w:p>
        </w:tc>
        <w:tc>
          <w:tcPr>
            <w:tcW w:w="4033" w:type="pct"/>
            <w:gridSpan w:val="2"/>
            <w:vAlign w:val="center"/>
          </w:tcPr>
          <w:p w14:paraId="366B81E4">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检查后协助完成整改报告</w:t>
            </w:r>
          </w:p>
        </w:tc>
      </w:tr>
      <w:tr w14:paraId="18565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restart"/>
            <w:vAlign w:val="center"/>
          </w:tcPr>
          <w:p w14:paraId="18416F6F">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十一、增值服务</w:t>
            </w:r>
          </w:p>
        </w:tc>
        <w:tc>
          <w:tcPr>
            <w:tcW w:w="4033" w:type="pct"/>
            <w:gridSpan w:val="2"/>
            <w:vAlign w:val="center"/>
          </w:tcPr>
          <w:p w14:paraId="0CB3E352">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提供文件受控系统，提升院方临床试验质量</w:t>
            </w:r>
          </w:p>
        </w:tc>
      </w:tr>
      <w:tr w14:paraId="28EF8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6F8B6875">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534747A6">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前期承接项目提供项目质控服务，协助完成稽查工作</w:t>
            </w:r>
          </w:p>
        </w:tc>
      </w:tr>
      <w:tr w14:paraId="66550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094E649B">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3905F1FF">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提供临床试验绩效体系参考，协助院方建立临床试验绩效体系</w:t>
            </w:r>
          </w:p>
        </w:tc>
      </w:tr>
      <w:tr w14:paraId="1547F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1B3EFF81">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3F848664">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备案通过后2年内如有相关政策法规更新，提供管理文件修改建议</w:t>
            </w:r>
          </w:p>
        </w:tc>
      </w:tr>
      <w:tr w14:paraId="231FD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2D7B4338">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7372F465">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lang w:eastAsia="zh-CN"/>
              </w:rPr>
            </w:pPr>
            <w:r>
              <w:rPr>
                <w:rFonts w:hint="eastAsia" w:ascii="仿宋" w:hAnsi="仿宋" w:eastAsia="仿宋" w:cs="仿宋"/>
                <w:b w:val="0"/>
                <w:bCs/>
                <w:sz w:val="20"/>
                <w:szCs w:val="20"/>
                <w:vertAlign w:val="baseline"/>
              </w:rPr>
              <w:t>备案通过后一年内引入至少两项药物临床试验项目</w:t>
            </w:r>
            <w:r>
              <w:rPr>
                <w:rFonts w:hint="eastAsia" w:ascii="仿宋" w:hAnsi="仿宋" w:eastAsia="仿宋" w:cs="仿宋"/>
                <w:b w:val="0"/>
                <w:bCs/>
                <w:sz w:val="20"/>
                <w:szCs w:val="20"/>
                <w:vertAlign w:val="baseline"/>
                <w:lang w:eastAsia="zh-CN"/>
              </w:rPr>
              <w:t>（</w:t>
            </w:r>
            <w:r>
              <w:rPr>
                <w:rFonts w:hint="eastAsia" w:ascii="仿宋" w:hAnsi="仿宋" w:eastAsia="仿宋" w:cs="仿宋"/>
                <w:b w:val="0"/>
                <w:bCs/>
                <w:sz w:val="20"/>
                <w:szCs w:val="20"/>
                <w:vertAlign w:val="baseline"/>
                <w:lang w:val="en-US" w:eastAsia="zh-CN"/>
              </w:rPr>
              <w:t>引入项目总金额不低于本次招标金额的50%</w:t>
            </w:r>
            <w:r>
              <w:rPr>
                <w:rFonts w:hint="eastAsia" w:ascii="仿宋" w:hAnsi="仿宋" w:eastAsia="仿宋" w:cs="仿宋"/>
                <w:b w:val="0"/>
                <w:bCs/>
                <w:sz w:val="20"/>
                <w:szCs w:val="20"/>
                <w:vertAlign w:val="baseline"/>
                <w:lang w:eastAsia="zh-CN"/>
              </w:rPr>
              <w:t>）</w:t>
            </w:r>
          </w:p>
        </w:tc>
      </w:tr>
      <w:tr w14:paraId="2F4F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6" w:type="pct"/>
            <w:vMerge w:val="continue"/>
            <w:vAlign w:val="center"/>
          </w:tcPr>
          <w:p w14:paraId="19C20B65">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仿宋" w:hAnsi="仿宋" w:eastAsia="仿宋" w:cs="仿宋"/>
                <w:b w:val="0"/>
                <w:bCs/>
                <w:sz w:val="20"/>
                <w:szCs w:val="20"/>
                <w:vertAlign w:val="baseline"/>
              </w:rPr>
            </w:pPr>
          </w:p>
        </w:tc>
        <w:tc>
          <w:tcPr>
            <w:tcW w:w="4033" w:type="pct"/>
            <w:gridSpan w:val="2"/>
            <w:vAlign w:val="center"/>
          </w:tcPr>
          <w:p w14:paraId="3F42C2F9">
            <w:pPr>
              <w:pStyle w:val="11"/>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9"/>
              <w:rPr>
                <w:rFonts w:hint="eastAsia" w:ascii="仿宋" w:hAnsi="仿宋" w:eastAsia="仿宋" w:cs="仿宋"/>
                <w:b w:val="0"/>
                <w:bCs/>
                <w:sz w:val="20"/>
                <w:szCs w:val="20"/>
                <w:vertAlign w:val="baseline"/>
              </w:rPr>
            </w:pPr>
            <w:r>
              <w:rPr>
                <w:rFonts w:hint="eastAsia" w:ascii="仿宋" w:hAnsi="仿宋" w:eastAsia="仿宋" w:cs="仿宋"/>
                <w:b w:val="0"/>
                <w:bCs/>
                <w:sz w:val="20"/>
                <w:szCs w:val="20"/>
                <w:vertAlign w:val="baseline"/>
              </w:rPr>
              <w:t>提供临床试验项目相关对接活动，增加获取项目机会</w:t>
            </w:r>
          </w:p>
        </w:tc>
      </w:tr>
    </w:tbl>
    <w:p w14:paraId="1F14D089">
      <w:pPr>
        <w:pStyle w:val="11"/>
        <w:ind w:firstLine="48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三、服务期限</w:t>
      </w:r>
    </w:p>
    <w:p w14:paraId="63FCE9CE">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案成功后提供GCP免费服务两年，全流程服务。成交供应商应在半年内完成本次项目备案服务，如因药物临床试验机构备案制政策变更、检查周期过长或甲方场地、设备未完善等原因未能在服务期内完成服务任务的，可由双方协商，适当延长服务期限直至该项目结束，任务完成。</w:t>
      </w:r>
    </w:p>
    <w:p w14:paraId="63E16898">
      <w:pPr>
        <w:pStyle w:val="11"/>
        <w:ind w:firstLine="48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四</w:t>
      </w:r>
      <w:r>
        <w:rPr>
          <w:rFonts w:hint="eastAsia" w:ascii="仿宋" w:hAnsi="仿宋" w:eastAsia="仿宋" w:cs="仿宋"/>
          <w:b/>
          <w:color w:val="auto"/>
          <w:sz w:val="28"/>
          <w:szCs w:val="28"/>
          <w:highlight w:val="none"/>
        </w:rPr>
        <w:t>、双方权利义务</w:t>
      </w:r>
    </w:p>
    <w:p w14:paraId="085A846D">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val="0"/>
          <w:sz w:val="24"/>
          <w:szCs w:val="24"/>
          <w:lang w:eastAsia="zh-CN"/>
        </w:rPr>
      </w:pPr>
      <w:r>
        <w:rPr>
          <w:rFonts w:hint="eastAsia" w:ascii="仿宋" w:hAnsi="仿宋" w:eastAsia="仿宋" w:cs="仿宋"/>
          <w:b/>
          <w:bCs w:val="0"/>
          <w:sz w:val="24"/>
          <w:szCs w:val="24"/>
          <w:lang w:eastAsia="zh-CN"/>
        </w:rPr>
        <w:t>（</w:t>
      </w:r>
      <w:r>
        <w:rPr>
          <w:rFonts w:hint="eastAsia" w:ascii="仿宋" w:hAnsi="仿宋" w:eastAsia="仿宋" w:cs="仿宋"/>
          <w:b/>
          <w:bCs w:val="0"/>
          <w:sz w:val="24"/>
          <w:szCs w:val="24"/>
          <w:lang w:val="en-US" w:eastAsia="zh-CN"/>
        </w:rPr>
        <w:t>一</w:t>
      </w:r>
      <w:r>
        <w:rPr>
          <w:rFonts w:hint="eastAsia" w:ascii="仿宋" w:hAnsi="仿宋" w:eastAsia="仿宋" w:cs="仿宋"/>
          <w:b/>
          <w:bCs w:val="0"/>
          <w:sz w:val="24"/>
          <w:szCs w:val="24"/>
          <w:lang w:eastAsia="zh-CN"/>
        </w:rPr>
        <w:t>）甲方权利义务</w:t>
      </w:r>
    </w:p>
    <w:p w14:paraId="2C9F80ED">
      <w:pPr>
        <w:pStyle w:val="3"/>
        <w:keepNext w:val="0"/>
        <w:keepLines w:val="0"/>
        <w:pageBreakBefore w:val="0"/>
        <w:numPr>
          <w:ilvl w:val="0"/>
          <w:numId w:val="1"/>
        </w:numPr>
        <w:kinsoku/>
        <w:wordWrap/>
        <w:overflowPunct/>
        <w:topLinePunct w:val="0"/>
        <w:autoSpaceDE/>
        <w:autoSpaceDN/>
        <w:bidi w:val="0"/>
        <w:ind w:left="218" w:leftChars="104" w:firstLine="480" w:firstLineChars="200"/>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甲方提供乙方开始实施项目中所需的必要资料等；</w:t>
      </w:r>
    </w:p>
    <w:p w14:paraId="5EF5F258">
      <w:pPr>
        <w:pStyle w:val="6"/>
        <w:keepNext w:val="0"/>
        <w:keepLines w:val="0"/>
        <w:pageBreakBefore w:val="0"/>
        <w:numPr>
          <w:ilvl w:val="0"/>
          <w:numId w:val="1"/>
        </w:numPr>
        <w:kinsoku/>
        <w:wordWrap/>
        <w:overflowPunct/>
        <w:topLinePunct w:val="0"/>
        <w:autoSpaceDE/>
        <w:autoSpaceDN/>
        <w:bidi w:val="0"/>
        <w:ind w:left="218" w:leftChars="104" w:firstLine="480" w:firstLineChars="200"/>
        <w:textAlignment w:val="baseline"/>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甲方按照合同要求核销、结算支付合同价款；</w:t>
      </w:r>
    </w:p>
    <w:p w14:paraId="285C8F47">
      <w:pPr>
        <w:pStyle w:val="6"/>
        <w:keepNext w:val="0"/>
        <w:keepLines w:val="0"/>
        <w:pageBreakBefore w:val="0"/>
        <w:numPr>
          <w:ilvl w:val="0"/>
          <w:numId w:val="1"/>
        </w:numPr>
        <w:kinsoku/>
        <w:wordWrap/>
        <w:overflowPunct/>
        <w:topLinePunct w:val="0"/>
        <w:autoSpaceDE/>
        <w:autoSpaceDN/>
        <w:bidi w:val="0"/>
        <w:ind w:left="218" w:leftChars="104" w:firstLine="480" w:firstLineChars="200"/>
        <w:textAlignment w:val="baseline"/>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其他：</w:t>
      </w:r>
      <w:r>
        <w:rPr>
          <w:rFonts w:hint="eastAsia" w:ascii="仿宋" w:hAnsi="仿宋" w:eastAsia="仿宋" w:cs="仿宋"/>
          <w:color w:val="auto"/>
          <w:kern w:val="2"/>
          <w:sz w:val="24"/>
          <w:szCs w:val="24"/>
          <w:highlight w:val="none"/>
          <w:u w:val="single"/>
          <w:lang w:val="en-US" w:eastAsia="zh-CN" w:bidi="ar-SA"/>
        </w:rPr>
        <w:t xml:space="preserve">  双方约定  </w:t>
      </w:r>
      <w:r>
        <w:rPr>
          <w:rFonts w:hint="eastAsia" w:ascii="仿宋" w:hAnsi="仿宋" w:eastAsia="仿宋" w:cs="仿宋"/>
          <w:color w:val="auto"/>
          <w:kern w:val="2"/>
          <w:sz w:val="24"/>
          <w:szCs w:val="24"/>
          <w:highlight w:val="none"/>
          <w:lang w:val="en-US" w:eastAsia="zh-CN" w:bidi="ar-SA"/>
        </w:rPr>
        <w:t>。</w:t>
      </w:r>
    </w:p>
    <w:p w14:paraId="56CCEE44">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val="0"/>
          <w:sz w:val="24"/>
          <w:szCs w:val="24"/>
          <w:lang w:eastAsia="zh-CN"/>
        </w:rPr>
      </w:pPr>
      <w:r>
        <w:rPr>
          <w:rFonts w:hint="eastAsia" w:ascii="仿宋" w:hAnsi="仿宋" w:eastAsia="仿宋" w:cs="仿宋"/>
          <w:b/>
          <w:bCs w:val="0"/>
          <w:sz w:val="24"/>
          <w:szCs w:val="24"/>
          <w:lang w:eastAsia="zh-CN"/>
        </w:rPr>
        <w:t>乙方权利义务</w:t>
      </w:r>
    </w:p>
    <w:p w14:paraId="27141F8C">
      <w:pPr>
        <w:pStyle w:val="3"/>
        <w:keepNext w:val="0"/>
        <w:keepLines w:val="0"/>
        <w:pageBreakBefore w:val="0"/>
        <w:numPr>
          <w:ilvl w:val="0"/>
          <w:numId w:val="3"/>
        </w:numPr>
        <w:kinsoku/>
        <w:wordWrap/>
        <w:overflowPunct/>
        <w:topLinePunct w:val="0"/>
        <w:autoSpaceDE/>
        <w:autoSpaceDN/>
        <w:bidi w:val="0"/>
        <w:ind w:left="218" w:leftChars="104" w:firstLine="480" w:firstLineChars="200"/>
        <w:textAlignment w:val="baseline"/>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乙方应按照服务要求完成本次合同约定的全部服务要求；</w:t>
      </w:r>
    </w:p>
    <w:p w14:paraId="0BF90CF0">
      <w:pPr>
        <w:pStyle w:val="6"/>
        <w:keepNext w:val="0"/>
        <w:keepLines w:val="0"/>
        <w:pageBreakBefore w:val="0"/>
        <w:numPr>
          <w:ilvl w:val="0"/>
          <w:numId w:val="3"/>
        </w:numPr>
        <w:kinsoku/>
        <w:wordWrap/>
        <w:overflowPunct/>
        <w:topLinePunct w:val="0"/>
        <w:autoSpaceDE/>
        <w:autoSpaceDN/>
        <w:bidi w:val="0"/>
        <w:ind w:left="218" w:leftChars="104" w:firstLine="480" w:firstLineChars="200"/>
        <w:textAlignment w:val="baseline"/>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乙方按照合同要求提供核销、结算发票及甲方要求的相关资料等；</w:t>
      </w:r>
    </w:p>
    <w:p w14:paraId="478D4425">
      <w:pPr>
        <w:pStyle w:val="6"/>
        <w:keepNext w:val="0"/>
        <w:keepLines w:val="0"/>
        <w:pageBreakBefore w:val="0"/>
        <w:numPr>
          <w:ilvl w:val="0"/>
          <w:numId w:val="3"/>
        </w:numPr>
        <w:kinsoku/>
        <w:wordWrap/>
        <w:overflowPunct/>
        <w:topLinePunct w:val="0"/>
        <w:autoSpaceDE/>
        <w:autoSpaceDN/>
        <w:bidi w:val="0"/>
        <w:ind w:left="218" w:leftChars="104" w:firstLine="480" w:firstLineChars="200"/>
        <w:textAlignment w:val="baseline"/>
        <w:rPr>
          <w:rFonts w:hint="default"/>
          <w:color w:val="auto"/>
          <w:highlight w:val="none"/>
          <w:lang w:val="en-US" w:eastAsia="zh-CN"/>
        </w:rPr>
      </w:pPr>
      <w:r>
        <w:rPr>
          <w:rFonts w:hint="eastAsia" w:ascii="仿宋" w:hAnsi="仿宋" w:eastAsia="仿宋" w:cs="仿宋"/>
          <w:color w:val="auto"/>
          <w:kern w:val="2"/>
          <w:sz w:val="24"/>
          <w:szCs w:val="24"/>
          <w:highlight w:val="none"/>
          <w:lang w:val="en-US" w:eastAsia="zh-CN" w:bidi="ar-SA"/>
        </w:rPr>
        <w:t>其他：</w:t>
      </w:r>
      <w:r>
        <w:rPr>
          <w:rFonts w:hint="eastAsia" w:ascii="仿宋" w:hAnsi="仿宋" w:eastAsia="仿宋" w:cs="仿宋"/>
          <w:color w:val="auto"/>
          <w:kern w:val="2"/>
          <w:sz w:val="24"/>
          <w:szCs w:val="24"/>
          <w:highlight w:val="none"/>
          <w:u w:val="single"/>
          <w:lang w:val="en-US" w:eastAsia="zh-CN" w:bidi="ar-SA"/>
        </w:rPr>
        <w:t xml:space="preserve">  双方约定  </w:t>
      </w:r>
      <w:r>
        <w:rPr>
          <w:rFonts w:hint="eastAsia" w:ascii="仿宋" w:hAnsi="仿宋" w:eastAsia="仿宋" w:cs="仿宋"/>
          <w:color w:val="auto"/>
          <w:kern w:val="2"/>
          <w:sz w:val="24"/>
          <w:szCs w:val="24"/>
          <w:highlight w:val="none"/>
          <w:lang w:val="en-US" w:eastAsia="zh-CN" w:bidi="ar-SA"/>
        </w:rPr>
        <w:t>。</w:t>
      </w:r>
    </w:p>
    <w:p w14:paraId="30B0A848">
      <w:pPr>
        <w:pStyle w:val="11"/>
        <w:ind w:firstLine="48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五</w:t>
      </w:r>
      <w:r>
        <w:rPr>
          <w:rFonts w:hint="eastAsia" w:ascii="仿宋" w:hAnsi="仿宋" w:eastAsia="仿宋" w:cs="仿宋"/>
          <w:b/>
          <w:color w:val="auto"/>
          <w:sz w:val="28"/>
          <w:szCs w:val="28"/>
          <w:highlight w:val="none"/>
        </w:rPr>
        <w:t>、服务金额及付款方式</w:t>
      </w:r>
    </w:p>
    <w:p w14:paraId="40E78F1C">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一</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服务金额</w:t>
      </w:r>
    </w:p>
    <w:p w14:paraId="037C9978">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合同总价为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lang w:val="en-US" w:eastAsia="zh-CN"/>
        </w:rPr>
        <w:t>元</w:t>
      </w:r>
      <w:r>
        <w:rPr>
          <w:rFonts w:hint="eastAsia" w:ascii="仿宋" w:hAnsi="仿宋" w:eastAsia="仿宋" w:cs="仿宋"/>
          <w:color w:val="auto"/>
          <w:sz w:val="24"/>
          <w:szCs w:val="24"/>
          <w:highlight w:val="none"/>
          <w:lang w:val="en-US" w:eastAsia="zh-CN"/>
        </w:rPr>
        <w:t>；</w:t>
      </w:r>
    </w:p>
    <w:p w14:paraId="241B7B32">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lang w:val="en-US" w:eastAsia="zh-CN"/>
        </w:rPr>
        <w:t>二</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结算方式</w:t>
      </w:r>
    </w:p>
    <w:p w14:paraId="03E25901">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1.合同总金额包含乙方因履行本合同所产生的一切费用。本合同总价一次性包死，不受市场变动因素的影响。甲方分以下四次节点向乙方支付，具体如下：</w:t>
      </w:r>
    </w:p>
    <w:p w14:paraId="67250754">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①甲乙双方正式签订合同后，财务入账后次月甲方支付合同总金额的20%；</w:t>
      </w:r>
    </w:p>
    <w:p w14:paraId="0B4839A5">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药物临床试验机构备案迎检4个专业通过后，财务入账后次月甲方支付合同总金额的30%，如部分专业通过首次迎检，财务入账后次月甲方支付合同总金额的20%，服务至4个专业通过迎检后，财务入账后次月甲方支付合同总金额的10%；</w:t>
      </w:r>
    </w:p>
    <w:p w14:paraId="231035A8">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③器械临床试验机构备案迎检4个专业通过后，财务入账后次月甲方支付合同总金额的30%，如部分专业通过首次迎检，财务入账后次月甲方支付合同总金额的20%，服务至4个专业通过迎检后，财务入账后次月甲方支付合同总金额的10%；</w:t>
      </w:r>
    </w:p>
    <w:p w14:paraId="13A1EEC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④</w:t>
      </w:r>
      <w:bookmarkStart w:id="0" w:name="_GoBack"/>
      <w:bookmarkEnd w:id="0"/>
      <w:r>
        <w:rPr>
          <w:rFonts w:hint="eastAsia" w:ascii="仿宋" w:hAnsi="仿宋" w:eastAsia="仿宋" w:cs="仿宋"/>
          <w:color w:val="auto"/>
          <w:sz w:val="24"/>
          <w:szCs w:val="24"/>
          <w:highlight w:val="none"/>
          <w:lang w:val="en-US" w:eastAsia="zh-CN"/>
        </w:rPr>
        <w:t>备案后一年内协助推荐2个临床试验项目，项目总金额不低于本次合同总金额的50%，并且2个项目均在院方签合同立项后，财务入账后次月甲方支付合同总金额的20%；如若乙方未在规定期限完成上述条件，乙方将向甲方支付合同总金额5%的逾期违约金。</w:t>
      </w:r>
    </w:p>
    <w:p w14:paraId="655A3AD9">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甲、乙双方选择分阶段结算方式，在甲方每次付款前，乙方必须开具全额增值税发票给甲方，未按照甲方要求开具发票，甲方可顺延付款时间不承担违约责任，由此造成的损失由乙方承担。</w:t>
      </w:r>
    </w:p>
    <w:p w14:paraId="7567976B">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val="en-US" w:eastAsia="zh-CN"/>
        </w:rPr>
        <w:t>2.结算方式：银行转账，由甲方以人民币负责结算。</w:t>
      </w:r>
    </w:p>
    <w:p w14:paraId="1E58361C">
      <w:pPr>
        <w:pStyle w:val="11"/>
        <w:ind w:firstLine="480"/>
        <w:jc w:val="both"/>
        <w:rPr>
          <w:rFonts w:hint="eastAsia" w:ascii="仿宋" w:hAnsi="仿宋" w:eastAsia="仿宋" w:cs="仿宋"/>
          <w:b/>
          <w:sz w:val="28"/>
          <w:szCs w:val="28"/>
        </w:rPr>
      </w:pPr>
      <w:r>
        <w:rPr>
          <w:rFonts w:hint="eastAsia" w:ascii="仿宋" w:hAnsi="仿宋" w:eastAsia="仿宋" w:cs="仿宋"/>
          <w:b/>
          <w:sz w:val="28"/>
          <w:szCs w:val="28"/>
          <w:lang w:val="en-US" w:eastAsia="zh-CN"/>
        </w:rPr>
        <w:t>六</w:t>
      </w:r>
      <w:r>
        <w:rPr>
          <w:rFonts w:hint="eastAsia" w:ascii="仿宋" w:hAnsi="仿宋" w:eastAsia="仿宋" w:cs="仿宋"/>
          <w:b/>
          <w:sz w:val="28"/>
          <w:szCs w:val="28"/>
        </w:rPr>
        <w:t>、违约责任</w:t>
      </w:r>
    </w:p>
    <w:p w14:paraId="73D4DFF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1、甲乙双方必须遵守本合同并执行合同中的各项规定，保证本合同的正常履行。</w:t>
      </w:r>
    </w:p>
    <w:p w14:paraId="699209B1">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2、如因乙方未全面履行合同义务或者发生违约，甲方有权终止合同，依法向乙方进行经济索赔，并报请政府采购监督管理机关进行相应的行政处罚。</w:t>
      </w:r>
    </w:p>
    <w:p w14:paraId="24720F6A">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C743CB6">
      <w:pPr>
        <w:pStyle w:val="11"/>
        <w:ind w:firstLine="480"/>
        <w:jc w:val="both"/>
        <w:rPr>
          <w:rFonts w:hint="eastAsia" w:ascii="仿宋" w:hAnsi="仿宋" w:eastAsia="仿宋" w:cs="仿宋"/>
          <w:b/>
          <w:sz w:val="28"/>
          <w:szCs w:val="28"/>
        </w:rPr>
      </w:pPr>
      <w:r>
        <w:rPr>
          <w:rFonts w:hint="eastAsia" w:ascii="仿宋" w:hAnsi="仿宋" w:eastAsia="仿宋" w:cs="仿宋"/>
          <w:b/>
          <w:sz w:val="28"/>
          <w:szCs w:val="28"/>
          <w:lang w:val="en-US" w:eastAsia="zh-CN"/>
        </w:rPr>
        <w:t>七</w:t>
      </w:r>
      <w:r>
        <w:rPr>
          <w:rFonts w:hint="eastAsia" w:ascii="仿宋" w:hAnsi="仿宋" w:eastAsia="仿宋" w:cs="仿宋"/>
          <w:b/>
          <w:sz w:val="28"/>
          <w:szCs w:val="28"/>
        </w:rPr>
        <w:t>、合同的变更、终止与解除</w:t>
      </w:r>
    </w:p>
    <w:p w14:paraId="53431DDF">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sz w:val="24"/>
          <w:szCs w:val="24"/>
        </w:rPr>
      </w:pP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一</w:t>
      </w:r>
      <w:r>
        <w:rPr>
          <w:rFonts w:hint="eastAsia" w:ascii="仿宋" w:hAnsi="仿宋" w:eastAsia="仿宋" w:cs="仿宋"/>
          <w:b/>
          <w:sz w:val="24"/>
          <w:szCs w:val="24"/>
          <w:lang w:eastAsia="zh-CN"/>
        </w:rPr>
        <w:t>）</w:t>
      </w:r>
      <w:r>
        <w:rPr>
          <w:rFonts w:hint="eastAsia" w:ascii="仿宋" w:hAnsi="仿宋" w:eastAsia="仿宋" w:cs="仿宋"/>
          <w:b/>
          <w:sz w:val="24"/>
          <w:szCs w:val="24"/>
        </w:rPr>
        <w:t>合同的变更</w:t>
      </w:r>
    </w:p>
    <w:p w14:paraId="1FFE2262">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双方必须严格遵守本合同，任意一方提出变更或修改要求，必须以载明变更的内容、日期等信息的书面形式事先通知对方，经双方协商一致后达成书面补充协议方可变更本合同内容。未变更的部分，双方应当继续履行。补充协议与本合同就同一事项约定不一致的，以补充协议为准。若协商不成，依照原合同履行。</w:t>
      </w:r>
    </w:p>
    <w:p w14:paraId="76EA2B16">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sz w:val="24"/>
          <w:szCs w:val="24"/>
        </w:rPr>
      </w:pP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二</w:t>
      </w:r>
      <w:r>
        <w:rPr>
          <w:rFonts w:hint="eastAsia" w:ascii="仿宋" w:hAnsi="仿宋" w:eastAsia="仿宋" w:cs="仿宋"/>
          <w:b/>
          <w:sz w:val="24"/>
          <w:szCs w:val="24"/>
          <w:lang w:eastAsia="zh-CN"/>
        </w:rPr>
        <w:t>）</w:t>
      </w:r>
      <w:r>
        <w:rPr>
          <w:rFonts w:hint="eastAsia" w:ascii="仿宋" w:hAnsi="仿宋" w:eastAsia="仿宋" w:cs="仿宋"/>
          <w:b/>
          <w:sz w:val="24"/>
          <w:szCs w:val="24"/>
        </w:rPr>
        <w:t>合同的终止</w:t>
      </w:r>
    </w:p>
    <w:p w14:paraId="3E77D3A7">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合同期满，双方履行本合同义务完毕，本合同自期满之日起自动终止，双方的权利义务关系自动消失。</w:t>
      </w:r>
    </w:p>
    <w:p w14:paraId="6FD5921A">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经双方协商一致并另行签订书面补充协议的，可终止本合同。</w:t>
      </w:r>
    </w:p>
    <w:p w14:paraId="0BBC020C">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如一方严重违反本合同，并在收到对方违约通知之日起3个工作日内仍未能改正违约行为的，另一方可立即终止本合同。</w:t>
      </w:r>
    </w:p>
    <w:p w14:paraId="12709712">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本合同约定可提前终止的情形。</w:t>
      </w:r>
    </w:p>
    <w:p w14:paraId="00C6AC1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本合同的提前终止不应影响双方于本合同提前终止之前根据本合同已产生的权利和义务。</w:t>
      </w:r>
    </w:p>
    <w:p w14:paraId="3F65A068">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sz w:val="24"/>
          <w:szCs w:val="24"/>
        </w:rPr>
      </w:pP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三</w:t>
      </w:r>
      <w:r>
        <w:rPr>
          <w:rFonts w:hint="eastAsia" w:ascii="仿宋" w:hAnsi="仿宋" w:eastAsia="仿宋" w:cs="仿宋"/>
          <w:b/>
          <w:sz w:val="24"/>
          <w:szCs w:val="24"/>
          <w:lang w:eastAsia="zh-CN"/>
        </w:rPr>
        <w:t>）</w:t>
      </w:r>
      <w:r>
        <w:rPr>
          <w:rFonts w:hint="eastAsia" w:ascii="仿宋" w:hAnsi="仿宋" w:eastAsia="仿宋" w:cs="仿宋"/>
          <w:b/>
          <w:sz w:val="24"/>
          <w:szCs w:val="24"/>
        </w:rPr>
        <w:t>合同的解除</w:t>
      </w:r>
    </w:p>
    <w:p w14:paraId="08E7DADB">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双方就解除本合同协商一致的，可解除本合同。</w:t>
      </w:r>
    </w:p>
    <w:p w14:paraId="49E903A7">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由于一方违约造成本合同不能履行或不能完全履行，如果守约方认为本合同已无必要继续履行或违约方在收到守约方要求其纠正违约的通知之日起3个工作日内仍不纠正其违约行为，则守约方有权向违约方发出解除本合同的书面通知，该通知自送达违约方时生效，违约方应承担本合同约定的违约责任。</w:t>
      </w:r>
    </w:p>
    <w:p w14:paraId="5AE0EFE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由于不可抗力或意外事故导致合同无法履行或部分无法履行，双方均可解除本合同而不承担违约责任。</w:t>
      </w:r>
    </w:p>
    <w:p w14:paraId="43874316">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因法律、法规、规章、行政规范性文件或国家、地方政策发生重大变化的，双方均可协商解除本合同。</w:t>
      </w:r>
    </w:p>
    <w:p w14:paraId="2DF036F6">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合同的继续履行将损害国家利益或社会公共利益的，双方均可协商解除本合同。</w:t>
      </w:r>
    </w:p>
    <w:p w14:paraId="1FF0035D">
      <w:pPr>
        <w:pStyle w:val="11"/>
        <w:ind w:firstLine="480"/>
        <w:jc w:val="both"/>
        <w:rPr>
          <w:rFonts w:hint="eastAsia" w:ascii="仿宋" w:hAnsi="仿宋" w:eastAsia="仿宋" w:cs="仿宋"/>
          <w:b/>
          <w:sz w:val="28"/>
          <w:szCs w:val="28"/>
        </w:rPr>
      </w:pPr>
      <w:r>
        <w:rPr>
          <w:rFonts w:hint="eastAsia" w:ascii="仿宋" w:hAnsi="仿宋" w:eastAsia="仿宋" w:cs="仿宋"/>
          <w:b/>
          <w:sz w:val="28"/>
          <w:szCs w:val="28"/>
          <w:lang w:val="en-US" w:eastAsia="zh-CN"/>
        </w:rPr>
        <w:t>八</w:t>
      </w:r>
      <w:r>
        <w:rPr>
          <w:rFonts w:hint="eastAsia" w:ascii="仿宋" w:hAnsi="仿宋" w:eastAsia="仿宋" w:cs="仿宋"/>
          <w:b/>
          <w:sz w:val="28"/>
          <w:szCs w:val="28"/>
        </w:rPr>
        <w:t>、通知与送达</w:t>
      </w:r>
    </w:p>
    <w:p w14:paraId="5217466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sz w:val="24"/>
          <w:szCs w:val="24"/>
        </w:rPr>
      </w:pPr>
      <w:r>
        <w:rPr>
          <w:rFonts w:hint="eastAsia" w:ascii="仿宋" w:hAnsi="仿宋" w:eastAsia="仿宋" w:cs="仿宋"/>
          <w:b/>
          <w:sz w:val="24"/>
          <w:szCs w:val="24"/>
          <w:lang w:eastAsia="zh-CN"/>
        </w:rPr>
        <w:t>（</w:t>
      </w:r>
      <w:r>
        <w:rPr>
          <w:rFonts w:hint="eastAsia" w:ascii="仿宋" w:hAnsi="仿宋" w:eastAsia="仿宋" w:cs="仿宋"/>
          <w:b/>
          <w:sz w:val="24"/>
          <w:szCs w:val="24"/>
          <w:lang w:val="en-US" w:eastAsia="zh-CN"/>
        </w:rPr>
        <w:t>一</w:t>
      </w:r>
      <w:r>
        <w:rPr>
          <w:rFonts w:hint="eastAsia" w:ascii="仿宋" w:hAnsi="仿宋" w:eastAsia="仿宋" w:cs="仿宋"/>
          <w:b/>
          <w:sz w:val="24"/>
          <w:szCs w:val="24"/>
          <w:lang w:eastAsia="zh-CN"/>
        </w:rPr>
        <w:t>）</w:t>
      </w:r>
      <w:r>
        <w:rPr>
          <w:rFonts w:hint="eastAsia" w:ascii="仿宋" w:hAnsi="仿宋" w:eastAsia="仿宋" w:cs="仿宋"/>
          <w:b/>
          <w:sz w:val="24"/>
          <w:szCs w:val="24"/>
        </w:rPr>
        <w:t>通知与送达</w:t>
      </w:r>
    </w:p>
    <w:p w14:paraId="23A4C0A9">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任何与本合同有关的由本合同双方当事人发出的任何文件、通知及其它通讯往来，必须采取书面形式，并送达至本合同签章页载明的通讯地址或双方书面通知的其它地址。如果一方未填写或填写不明或未另行书面通知，则视该方营业执照或统一社会信用代码证书标明的注册住址、电话等信息为本合同有效期内通知相关事项和送达书面文书的联系方式、送达地址。</w:t>
      </w:r>
    </w:p>
    <w:p w14:paraId="153C34CB">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本合同项下的所有通知和其它联系均须采用书面形式，各类通知送达的时间分别定为：</w:t>
      </w:r>
    </w:p>
    <w:p w14:paraId="6C1163E8">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①</w:t>
      </w:r>
      <w:r>
        <w:rPr>
          <w:rFonts w:hint="eastAsia" w:ascii="仿宋" w:hAnsi="仿宋" w:eastAsia="仿宋" w:cs="仿宋"/>
          <w:sz w:val="24"/>
          <w:szCs w:val="24"/>
        </w:rPr>
        <w:t>专人递交以收件时为准；</w:t>
      </w:r>
    </w:p>
    <w:p w14:paraId="481EC675">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②</w:t>
      </w:r>
      <w:r>
        <w:rPr>
          <w:rFonts w:hint="eastAsia" w:ascii="仿宋" w:hAnsi="仿宋" w:eastAsia="仿宋" w:cs="仿宋"/>
          <w:sz w:val="24"/>
          <w:szCs w:val="24"/>
        </w:rPr>
        <w:t>要求回执的挂号邮件以投寄后满七天为准；</w:t>
      </w:r>
    </w:p>
    <w:p w14:paraId="3B88E864">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③</w:t>
      </w:r>
      <w:r>
        <w:rPr>
          <w:rFonts w:hint="eastAsia" w:ascii="仿宋" w:hAnsi="仿宋" w:eastAsia="仿宋" w:cs="仿宋"/>
          <w:color w:val="auto"/>
          <w:sz w:val="24"/>
          <w:szCs w:val="24"/>
          <w:highlight w:val="none"/>
        </w:rPr>
        <w:t>传真以收到对方确认时为准。</w:t>
      </w:r>
    </w:p>
    <w:p w14:paraId="79F23504">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双方确定，在本合同有效期内，甲乙双方不得随意变更联系人。一方变更联系人的，应当及时以书面形式通知另一方。未及时通知并影响本合同履行或造成损失的，未及时通知一方应承担相应的不利责任。</w:t>
      </w:r>
    </w:p>
    <w:p w14:paraId="252F2945">
      <w:pPr>
        <w:pStyle w:val="11"/>
        <w:ind w:firstLine="48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九</w:t>
      </w:r>
      <w:r>
        <w:rPr>
          <w:rFonts w:hint="eastAsia" w:ascii="仿宋" w:hAnsi="仿宋" w:eastAsia="仿宋" w:cs="仿宋"/>
          <w:b/>
          <w:color w:val="auto"/>
          <w:sz w:val="28"/>
          <w:szCs w:val="28"/>
          <w:highlight w:val="none"/>
        </w:rPr>
        <w:t>、不可抗力</w:t>
      </w:r>
    </w:p>
    <w:p w14:paraId="46D7BDBB">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val="en-US" w:eastAsia="zh-CN"/>
        </w:rPr>
        <w:t>1、</w:t>
      </w:r>
      <w:r>
        <w:rPr>
          <w:rFonts w:hint="eastAsia" w:ascii="仿宋" w:hAnsi="仿宋" w:eastAsia="仿宋" w:cs="仿宋"/>
          <w:color w:val="auto"/>
          <w:sz w:val="24"/>
          <w:szCs w:val="24"/>
          <w:highlight w:val="none"/>
        </w:rPr>
        <w:t>本条所称“不可抗力”是指战争、严重火灾、洪水、台风、地震等或其它双方认定的不能预见、不能避免并不能克服的客观情况。</w:t>
      </w:r>
    </w:p>
    <w:p w14:paraId="256A740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val="en-US" w:eastAsia="zh-CN"/>
        </w:rPr>
        <w:t>2、</w:t>
      </w:r>
      <w:r>
        <w:rPr>
          <w:rFonts w:hint="eastAsia" w:ascii="仿宋" w:hAnsi="仿宋" w:eastAsia="仿宋" w:cs="仿宋"/>
          <w:color w:val="auto"/>
          <w:sz w:val="24"/>
          <w:szCs w:val="24"/>
          <w:highlight w:val="none"/>
        </w:rPr>
        <w:t>因“不可抗力”而未能全部或部分履行本合同时，发生不可抗力一方应自不可抗力发生之时起24小时内将事故书面通知另一方，以减轻另一方因此所遭受的损失，并应在7日内向另一方出具当地有关政府机构出具的官方证明文件以证明不可抗力的存在。在此情况下，发生不可抗力的一方仍然有责任采取必要的措施履行合同。如任何一方怠于通知导致另一方遭受的损失扩大的，怠于通知方应承担另一方因此所遭受的一切损失。</w:t>
      </w:r>
    </w:p>
    <w:p w14:paraId="22EA9442">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val="en-US" w:eastAsia="zh-CN"/>
        </w:rPr>
        <w:t>3、</w:t>
      </w:r>
      <w:r>
        <w:rPr>
          <w:rFonts w:hint="eastAsia" w:ascii="仿宋" w:hAnsi="仿宋" w:eastAsia="仿宋" w:cs="仿宋"/>
          <w:color w:val="auto"/>
          <w:sz w:val="24"/>
          <w:szCs w:val="24"/>
          <w:highlight w:val="none"/>
        </w:rPr>
        <w:t>一方迟延履行本合同义务后，发生不可抗力的，不能免除迟延履行一方的法律责任。</w:t>
      </w:r>
    </w:p>
    <w:p w14:paraId="7B5DD773">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val="en-US" w:eastAsia="zh-CN"/>
        </w:rPr>
        <w:t>4、</w:t>
      </w:r>
      <w:r>
        <w:rPr>
          <w:rFonts w:hint="eastAsia" w:ascii="仿宋" w:hAnsi="仿宋" w:eastAsia="仿宋" w:cs="仿宋"/>
          <w:color w:val="auto"/>
          <w:sz w:val="24"/>
          <w:szCs w:val="24"/>
          <w:highlight w:val="none"/>
        </w:rPr>
        <w:t>由于不可抗力的原因导致本合同项下</w:t>
      </w:r>
      <w:r>
        <w:rPr>
          <w:rFonts w:hint="eastAsia" w:ascii="仿宋" w:hAnsi="仿宋" w:eastAsia="仿宋" w:cs="仿宋"/>
          <w:color w:val="auto"/>
          <w:sz w:val="24"/>
          <w:szCs w:val="24"/>
          <w:highlight w:val="none"/>
          <w:lang w:eastAsia="zh-CN"/>
        </w:rPr>
        <w:t>2025年度新区管委会机关办公饮用水保障项目</w:t>
      </w:r>
      <w:r>
        <w:rPr>
          <w:rFonts w:hint="eastAsia" w:ascii="仿宋" w:hAnsi="仿宋" w:eastAsia="仿宋" w:cs="仿宋"/>
          <w:color w:val="auto"/>
          <w:sz w:val="24"/>
          <w:szCs w:val="24"/>
          <w:highlight w:val="none"/>
        </w:rPr>
        <w:t>服务事项无法或无必要继续进行的，在取得有关机构的不可抗力证明或对方书面谅解确认后，双方可解除本合同，乙方应将所有相关资料移交甲方，但甲方应该按照计时标准补偿乙方已经付出的合理的人工成本，双方互不追究法律责任。</w:t>
      </w:r>
    </w:p>
    <w:p w14:paraId="047F18B3">
      <w:pPr>
        <w:pStyle w:val="11"/>
        <w:ind w:firstLine="48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十、争议及解决办法</w:t>
      </w:r>
    </w:p>
    <w:p w14:paraId="7B8F336C">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发生争议，双方应友好协商解决，,如协商不能达成一致的,任何一方均可向甲方所在地人民法院提起诉讼。在执行合同期间，如需补充修改本合同相关条款，应书面提出；双方协商期间不影响本协议的执行，待相关条款双方达成一致时，另行鉴定补充协议。</w:t>
      </w:r>
    </w:p>
    <w:p w14:paraId="08B290F5">
      <w:pPr>
        <w:pStyle w:val="11"/>
        <w:ind w:firstLine="480"/>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w:t>
      </w:r>
      <w:r>
        <w:rPr>
          <w:rFonts w:hint="eastAsia" w:ascii="仿宋" w:hAnsi="仿宋" w:eastAsia="仿宋" w:cs="仿宋"/>
          <w:b/>
          <w:color w:val="auto"/>
          <w:sz w:val="28"/>
          <w:szCs w:val="28"/>
          <w:highlight w:val="none"/>
          <w:lang w:val="en-US" w:eastAsia="zh-CN"/>
        </w:rPr>
        <w:t>一</w:t>
      </w:r>
      <w:r>
        <w:rPr>
          <w:rFonts w:hint="eastAsia" w:ascii="仿宋" w:hAnsi="仿宋" w:eastAsia="仿宋" w:cs="仿宋"/>
          <w:b/>
          <w:color w:val="auto"/>
          <w:sz w:val="28"/>
          <w:szCs w:val="28"/>
          <w:highlight w:val="none"/>
        </w:rPr>
        <w:t>、其他</w:t>
      </w:r>
    </w:p>
    <w:p w14:paraId="2C0E6BDA">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一</w:t>
      </w:r>
      <w:r>
        <w:rPr>
          <w:rFonts w:hint="eastAsia" w:ascii="仿宋" w:hAnsi="仿宋" w:eastAsia="仿宋" w:cs="仿宋"/>
          <w:b w:val="0"/>
          <w:bCs/>
          <w:color w:val="auto"/>
          <w:sz w:val="24"/>
          <w:szCs w:val="24"/>
          <w:highlight w:val="none"/>
          <w:lang w:eastAsia="zh-CN"/>
        </w:rPr>
        <w:t>）</w:t>
      </w:r>
      <w:r>
        <w:rPr>
          <w:rFonts w:hint="eastAsia" w:ascii="仿宋" w:hAnsi="仿宋" w:eastAsia="仿宋" w:cs="仿宋"/>
          <w:color w:val="auto"/>
          <w:sz w:val="24"/>
          <w:szCs w:val="24"/>
          <w:highlight w:val="none"/>
        </w:rPr>
        <w:t>本合同所有附件、</w:t>
      </w:r>
      <w:r>
        <w:rPr>
          <w:rFonts w:hint="eastAsia" w:ascii="仿宋" w:hAnsi="仿宋" w:eastAsia="仿宋" w:cs="仿宋"/>
          <w:color w:val="auto"/>
          <w:sz w:val="24"/>
          <w:szCs w:val="24"/>
          <w:highlight w:val="none"/>
          <w:lang w:val="en-US" w:eastAsia="zh-CN"/>
        </w:rPr>
        <w:t>竞争性磋商文件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竞争性磋商响应文件</w:t>
      </w:r>
      <w:r>
        <w:rPr>
          <w:rFonts w:hint="eastAsia" w:ascii="仿宋" w:hAnsi="仿宋" w:eastAsia="仿宋" w:cs="仿宋"/>
          <w:color w:val="auto"/>
          <w:sz w:val="24"/>
          <w:szCs w:val="24"/>
          <w:highlight w:val="none"/>
        </w:rPr>
        <w:t>、成交通知书均为合同的有效组成部分，与本合同具有同等法律效力。</w:t>
      </w:r>
    </w:p>
    <w:p w14:paraId="03E2C6CD">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二</w:t>
      </w:r>
      <w:r>
        <w:rPr>
          <w:rFonts w:hint="eastAsia" w:ascii="仿宋" w:hAnsi="仿宋" w:eastAsia="仿宋" w:cs="仿宋"/>
          <w:b w:val="0"/>
          <w:bCs/>
          <w:color w:val="auto"/>
          <w:sz w:val="24"/>
          <w:szCs w:val="24"/>
          <w:highlight w:val="none"/>
          <w:lang w:eastAsia="zh-CN"/>
        </w:rPr>
        <w:t>）</w:t>
      </w:r>
      <w:r>
        <w:rPr>
          <w:rFonts w:hint="eastAsia" w:ascii="仿宋" w:hAnsi="仿宋" w:eastAsia="仿宋" w:cs="仿宋"/>
          <w:color w:val="auto"/>
          <w:sz w:val="24"/>
          <w:szCs w:val="24"/>
          <w:highlight w:val="none"/>
        </w:rPr>
        <w:t>在执行本合同的过程中，所有经双方签署确认的文件（包括会议纪要、补充协议、往来信函）即成为本合同的有效组成部分。</w:t>
      </w:r>
    </w:p>
    <w:p w14:paraId="2F33D5D0">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三</w:t>
      </w:r>
      <w:r>
        <w:rPr>
          <w:rFonts w:hint="eastAsia" w:ascii="仿宋" w:hAnsi="仿宋" w:eastAsia="仿宋" w:cs="仿宋"/>
          <w:b w:val="0"/>
          <w:bCs/>
          <w:color w:val="auto"/>
          <w:sz w:val="24"/>
          <w:szCs w:val="24"/>
          <w:highlight w:val="none"/>
          <w:lang w:eastAsia="zh-CN"/>
        </w:rPr>
        <w:t>）</w:t>
      </w:r>
      <w:r>
        <w:rPr>
          <w:rFonts w:hint="eastAsia" w:ascii="仿宋" w:hAnsi="仿宋" w:eastAsia="仿宋" w:cs="仿宋"/>
          <w:color w:val="auto"/>
          <w:sz w:val="24"/>
          <w:szCs w:val="24"/>
          <w:highlight w:val="none"/>
        </w:rPr>
        <w:t>双方确定，在合同有效期内，甲方指定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为甲方联系人，乙方指定</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为乙方联系人。</w:t>
      </w:r>
    </w:p>
    <w:p w14:paraId="4BC86DDE">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四</w:t>
      </w:r>
      <w:r>
        <w:rPr>
          <w:rFonts w:hint="eastAsia" w:ascii="仿宋" w:hAnsi="仿宋" w:eastAsia="仿宋" w:cs="仿宋"/>
          <w:b w:val="0"/>
          <w:bCs/>
          <w:color w:val="auto"/>
          <w:sz w:val="24"/>
          <w:szCs w:val="24"/>
          <w:highlight w:val="none"/>
          <w:lang w:eastAsia="zh-CN"/>
        </w:rPr>
        <w:t>）</w:t>
      </w:r>
      <w:r>
        <w:rPr>
          <w:rFonts w:hint="eastAsia" w:ascii="仿宋" w:hAnsi="仿宋" w:eastAsia="仿宋" w:cs="仿宋"/>
          <w:color w:val="auto"/>
          <w:sz w:val="24"/>
          <w:szCs w:val="24"/>
          <w:highlight w:val="none"/>
        </w:rPr>
        <w:t>本合同约定的地址、联系人及电子通信终端亦为双方业务联系往来、法律文书及争议解决时的法律文书送达地址，法院、仲裁机构的文书（含裁判文书）向任一方的指定地址进行送达的，视为有效送达。</w:t>
      </w:r>
    </w:p>
    <w:p w14:paraId="6B3B7299">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五</w:t>
      </w:r>
      <w:r>
        <w:rPr>
          <w:rFonts w:hint="eastAsia" w:ascii="仿宋" w:hAnsi="仿宋" w:eastAsia="仿宋" w:cs="仿宋"/>
          <w:b w:val="0"/>
          <w:bCs/>
          <w:color w:val="auto"/>
          <w:sz w:val="24"/>
          <w:szCs w:val="24"/>
          <w:highlight w:val="none"/>
          <w:lang w:eastAsia="zh-CN"/>
        </w:rPr>
        <w:t>）</w:t>
      </w:r>
      <w:r>
        <w:rPr>
          <w:rFonts w:hint="eastAsia" w:ascii="仿宋" w:hAnsi="仿宋" w:eastAsia="仿宋" w:cs="仿宋"/>
          <w:color w:val="auto"/>
          <w:sz w:val="24"/>
          <w:szCs w:val="24"/>
          <w:highlight w:val="none"/>
        </w:rPr>
        <w:t>本合同自双方法定代表人或授权代表签字并加盖公章之日起生效。如双方签署日期不一致的，本合同的生效时间以在后一方签署的时间为据。如由授权代表签署的，须提供授权委托书、授权代表身份证明以及工作证明材料作为本合同的附件。</w:t>
      </w:r>
    </w:p>
    <w:p w14:paraId="5C78CDF9">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六</w:t>
      </w:r>
      <w:r>
        <w:rPr>
          <w:rFonts w:hint="eastAsia" w:ascii="仿宋" w:hAnsi="仿宋" w:eastAsia="仿宋" w:cs="仿宋"/>
          <w:b w:val="0"/>
          <w:bCs/>
          <w:color w:val="auto"/>
          <w:sz w:val="24"/>
          <w:szCs w:val="24"/>
          <w:highlight w:val="none"/>
          <w:lang w:eastAsia="zh-CN"/>
        </w:rPr>
        <w:t>）</w:t>
      </w:r>
      <w:r>
        <w:rPr>
          <w:rFonts w:hint="eastAsia" w:ascii="仿宋" w:hAnsi="仿宋" w:eastAsia="仿宋" w:cs="仿宋"/>
          <w:color w:val="auto"/>
          <w:sz w:val="24"/>
          <w:szCs w:val="24"/>
          <w:highlight w:val="none"/>
        </w:rPr>
        <w:t>本合同一式陆份，具有同等效力，甲、乙双方各执叁份。</w:t>
      </w:r>
    </w:p>
    <w:p w14:paraId="48E51C97">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 w:val="0"/>
          <w:bCs/>
          <w:color w:val="auto"/>
          <w:sz w:val="24"/>
          <w:szCs w:val="24"/>
          <w:highlight w:val="none"/>
          <w:lang w:eastAsia="zh-CN"/>
        </w:rPr>
        <w:t>（</w:t>
      </w:r>
      <w:r>
        <w:rPr>
          <w:rFonts w:hint="eastAsia" w:ascii="仿宋" w:hAnsi="仿宋" w:eastAsia="仿宋" w:cs="仿宋"/>
          <w:b w:val="0"/>
          <w:bCs/>
          <w:color w:val="auto"/>
          <w:sz w:val="24"/>
          <w:szCs w:val="24"/>
          <w:highlight w:val="none"/>
          <w:lang w:val="en-US" w:eastAsia="zh-CN"/>
        </w:rPr>
        <w:t>七</w:t>
      </w:r>
      <w:r>
        <w:rPr>
          <w:rFonts w:hint="eastAsia" w:ascii="仿宋" w:hAnsi="仿宋" w:eastAsia="仿宋" w:cs="仿宋"/>
          <w:b w:val="0"/>
          <w:bCs/>
          <w:color w:val="auto"/>
          <w:sz w:val="24"/>
          <w:szCs w:val="24"/>
          <w:highlight w:val="none"/>
          <w:lang w:eastAsia="zh-CN"/>
        </w:rPr>
        <w:t>）</w:t>
      </w:r>
      <w:r>
        <w:rPr>
          <w:rFonts w:hint="eastAsia" w:ascii="仿宋" w:hAnsi="仿宋" w:eastAsia="仿宋" w:cs="仿宋"/>
          <w:color w:val="auto"/>
          <w:sz w:val="24"/>
          <w:szCs w:val="24"/>
          <w:highlight w:val="none"/>
        </w:rPr>
        <w:t>本合同如有未尽事宜，由双方结合实际情况另行协商并签署书面补充协议处理。本合同的书面补充协议作为本合同的重要组成部分，与本合同具有同等法律效力，书面补充协议与本合同就同一事项(或内容)约定不一致的，以补充协议为据。</w:t>
      </w:r>
    </w:p>
    <w:p w14:paraId="2479C480">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p>
    <w:p w14:paraId="7AE68F2B">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甲  方（盖章）                       乙  方（盖章）</w:t>
      </w:r>
    </w:p>
    <w:p w14:paraId="4D9BA28A">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单位名称：                           单位名称：</w:t>
      </w:r>
    </w:p>
    <w:p w14:paraId="1DDC5817">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地  址：                             地  址：</w:t>
      </w:r>
    </w:p>
    <w:p w14:paraId="774CAECE">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法定代表人                           法定代表人</w:t>
      </w:r>
    </w:p>
    <w:p w14:paraId="5C9CD3C8">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或委托代理人：                       或委托代理人：</w:t>
      </w:r>
    </w:p>
    <w:p w14:paraId="691FB3DC">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开户银行：                           开户银行：</w:t>
      </w:r>
    </w:p>
    <w:p w14:paraId="2C2BF44D">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账  号：                             账  号：</w:t>
      </w:r>
    </w:p>
    <w:p w14:paraId="70F029A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联系电话：                           联系电话：</w:t>
      </w:r>
    </w:p>
    <w:p w14:paraId="6F6591F9">
      <w:pPr>
        <w:keepNext w:val="0"/>
        <w:keepLines w:val="0"/>
        <w:pageBreakBefore w:val="0"/>
        <w:widowControl w:val="0"/>
        <w:tabs>
          <w:tab w:val="left" w:pos="480"/>
        </w:tabs>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 xml:space="preserve">签订日期：   年  月  日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签订日期：   年  月  日</w:t>
      </w:r>
    </w:p>
    <w:p w14:paraId="02CC5E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85C063"/>
    <w:multiLevelType w:val="singleLevel"/>
    <w:tmpl w:val="A785C063"/>
    <w:lvl w:ilvl="0" w:tentative="0">
      <w:start w:val="1"/>
      <w:numFmt w:val="decimal"/>
      <w:suff w:val="nothing"/>
      <w:lvlText w:val="（%1）"/>
      <w:lvlJc w:val="left"/>
    </w:lvl>
  </w:abstractNum>
  <w:abstractNum w:abstractNumId="1">
    <w:nsid w:val="AF1E676D"/>
    <w:multiLevelType w:val="singleLevel"/>
    <w:tmpl w:val="AF1E676D"/>
    <w:lvl w:ilvl="0" w:tentative="0">
      <w:start w:val="2"/>
      <w:numFmt w:val="chineseCounting"/>
      <w:suff w:val="nothing"/>
      <w:lvlText w:val="（%1）"/>
      <w:lvlJc w:val="left"/>
      <w:rPr>
        <w:rFonts w:hint="eastAsia"/>
      </w:rPr>
    </w:lvl>
  </w:abstractNum>
  <w:abstractNum w:abstractNumId="2">
    <w:nsid w:val="10A4C276"/>
    <w:multiLevelType w:val="singleLevel"/>
    <w:tmpl w:val="10A4C276"/>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3A7AF5"/>
    <w:rsid w:val="0AB66DA2"/>
    <w:rsid w:val="200B0D98"/>
    <w:rsid w:val="227A1982"/>
    <w:rsid w:val="2E805C93"/>
    <w:rsid w:val="3E3A7AF5"/>
    <w:rsid w:val="49DB37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w:basedOn w:val="1"/>
    <w:next w:val="1"/>
    <w:qFormat/>
    <w:uiPriority w:val="0"/>
    <w:pPr>
      <w:widowControl/>
      <w:ind w:firstLine="652" w:firstLineChars="233"/>
    </w:pPr>
    <w:rPr>
      <w:rFonts w:ascii="Times New Roman"/>
      <w:sz w:val="28"/>
    </w:rPr>
  </w:style>
  <w:style w:type="paragraph" w:styleId="5">
    <w:name w:val="HTML Address"/>
    <w:basedOn w:val="1"/>
    <w:qFormat/>
    <w:uiPriority w:val="0"/>
    <w:pPr>
      <w:widowControl/>
      <w:jc w:val="left"/>
    </w:pPr>
    <w:rPr>
      <w:rFonts w:ascii="宋体" w:hAnsi="宋体" w:cs="宋体"/>
      <w:i/>
      <w:iCs/>
      <w:kern w:val="0"/>
      <w:sz w:val="24"/>
      <w:szCs w:val="24"/>
    </w:rPr>
  </w:style>
  <w:style w:type="paragraph" w:styleId="6">
    <w:name w:val="Body Text First Indent"/>
    <w:basedOn w:val="3"/>
    <w:next w:val="7"/>
    <w:qFormat/>
    <w:uiPriority w:val="99"/>
    <w:pPr>
      <w:widowControl w:val="0"/>
      <w:spacing w:after="120" w:afterLines="0"/>
      <w:ind w:firstLine="420" w:firstLineChars="100"/>
      <w:jc w:val="both"/>
    </w:pPr>
    <w:rPr>
      <w:rFonts w:ascii="宋体" w:hAnsi="Times New Roman" w:eastAsia="宋体" w:cs="Times New Roman"/>
      <w:kern w:val="2"/>
      <w:sz w:val="21"/>
      <w:lang w:val="en-US" w:eastAsia="zh-CN" w:bidi="ar-SA"/>
    </w:rPr>
  </w:style>
  <w:style w:type="paragraph" w:styleId="7">
    <w:name w:val="Body Text First Indent 2"/>
    <w:basedOn w:val="4"/>
    <w:next w:val="1"/>
    <w:qFormat/>
    <w:uiPriority w:val="99"/>
    <w:pPr>
      <w:spacing w:after="120"/>
      <w:ind w:left="420" w:leftChars="200" w:right="0" w:rightChars="0" w:firstLine="420" w:firstLineChars="200"/>
    </w:pPr>
    <w:rPr>
      <w:rFonts w:ascii="Times New Roman" w:hAnsi="Times New Roman"/>
      <w:sz w:val="21"/>
      <w:szCs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uiPriority w:val="0"/>
    <w:rPr>
      <w:rFonts w:hint="eastAsia" w:ascii="Calibri" w:hAnsi="Calibri" w:eastAsia="宋体" w:cs="Times New Roman"/>
      <w:lang w:val="en-US" w:eastAsia="zh-Hans"/>
    </w:r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4396</Words>
  <Characters>4447</Characters>
  <Lines>0</Lines>
  <Paragraphs>0</Paragraphs>
  <TotalTime>1</TotalTime>
  <ScaleCrop>false</ScaleCrop>
  <LinksUpToDate>false</LinksUpToDate>
  <CharactersWithSpaces>4858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2025-06-12T01:52:00Z</dcterms:created>
  <dc:creator>echo</dc:creator>
  <cp:lastModifiedBy>echo</cp:lastModifiedBy>
  <dcterms:modified xsi:type="dcterms:W3CDTF">2025-07-01T06:39:23Z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2A158F7CAAED42E9B67D1E3A08C621BC_11</vt:lpwstr>
  </property>
  <property fmtid="{D5CDD505-2E9C-101B-9397-08002B2CF9AE}" pid="4" name="KSOTemplateDocerSaveRecord">
    <vt:lpwstr>eyJoZGlkIjoiM2YwNzFlMDkwMmZlZTgxMjI4ZjViYjJjNzlmMDkxMzMiLCJ1c2VySWQiOiIyNDg2NTg2NDAifQ==</vt:lpwstr>
  </property>
</Properties>
</file>