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版本号：SCZA2025-CS-1494-00120250701001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2025年中央财政林业草原改革发展资金（林业有害生物防治）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SCZA2025-CS-1494-001</w:t>
      </w:r>
      <w:r>
        <w:br/>
      </w:r>
      <w:r>
        <w:br/>
      </w:r>
      <w:r>
        <w:br/>
      </w:r>
    </w:p>
    <w:p>
      <w:pPr>
        <w:pStyle w:val="null3"/>
        <w:jc w:val="center"/>
        <w:outlineLvl w:val="2"/>
      </w:pPr>
      <w:r>
        <w:rPr>
          <w:rFonts w:ascii="仿宋_GB2312" w:hAnsi="仿宋_GB2312" w:cs="仿宋_GB2312" w:eastAsia="仿宋_GB2312"/>
          <w:sz w:val="28"/>
          <w:b/>
        </w:rPr>
        <w:t>西安市长安区林业工作站</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西安市长安区林业工作站</w:t>
      </w:r>
      <w:r>
        <w:rPr>
          <w:rFonts w:ascii="仿宋_GB2312" w:hAnsi="仿宋_GB2312" w:cs="仿宋_GB2312" w:eastAsia="仿宋_GB2312"/>
        </w:rPr>
        <w:t>委托，拟对</w:t>
      </w:r>
      <w:r>
        <w:rPr>
          <w:rFonts w:ascii="仿宋_GB2312" w:hAnsi="仿宋_GB2312" w:cs="仿宋_GB2312" w:eastAsia="仿宋_GB2312"/>
        </w:rPr>
        <w:t>2025年中央财政林业草原改革发展资金（林业有害生物防治）</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SCZA2025-CS-1494-001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2025年中央财政林业草原改革发展资金（林业有害生物防治）</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中央财政林业草原改革发展资金(林业有害生物防治)项目要全面掌握重点防控区域枯死松树的分布、发生面积、危害程度等基本情况，为精准防控提供依据。完成松树打孔注药，降低松材线虫病传播媒介昆虫松褐天牛对重点防控区域松林的危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采购包1（2025年中央财政林业草原改革发展资金（林业有害生物防治））：属于专门面向中小企业采购。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2、特定资质：供应商应提供林业有害生物防治（防治作业）丙级及以上资质证书。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西安市长安区林业工作站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西安市长安区太乙宫</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029-85943179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赵锦天、白国锋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计取招标代理费，不足5000元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西安市长安区林业工作站</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西安市长安区林业工作站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西安市长安区林业工作站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依据磋商文件及双方合同约定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地址：陕西省西安市高新区锦业路1号都市之门C座9层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中央财政林业草原改革发展资金(林业有害生物防治)项目要全面掌握重点防控区域枯死松树的分布、发生面积、危害程度等基本情况，为精准防控提供依据。完成松树打孔注药，降低松材线虫病传播媒介昆虫松褐天牛对重点防控区域松林的危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490000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标的名称：490000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1、服务地点及时间：</w:t>
            </w:r>
          </w:p>
          <w:p>
            <w:pPr>
              <w:pStyle w:val="null3"/>
            </w:pPr>
            <w:r>
              <w:rPr>
                <w:rFonts w:ascii="仿宋_GB2312" w:hAnsi="仿宋_GB2312" w:cs="仿宋_GB2312" w:eastAsia="仿宋_GB2312"/>
              </w:rPr>
              <w:t>2025年9月-12月中旬，主要在太乙宫街办翠华山地质公园及周边地区进行松材线虫病监测普查和松褐天牛防控。</w:t>
            </w:r>
          </w:p>
          <w:p>
            <w:pPr>
              <w:pStyle w:val="null3"/>
              <w:numPr>
                <w:ilvl w:val="0"/>
                <w:numId w:val="1"/>
              </w:numPr>
            </w:pPr>
            <w:r>
              <w:rPr>
                <w:rFonts w:ascii="仿宋_GB2312" w:hAnsi="仿宋_GB2312" w:cs="仿宋_GB2312" w:eastAsia="仿宋_GB2312"/>
              </w:rPr>
              <w:t>服务内容：</w:t>
            </w:r>
          </w:p>
          <w:p>
            <w:pPr>
              <w:pStyle w:val="null3"/>
            </w:pPr>
            <w:r>
              <w:rPr>
                <w:rFonts w:ascii="仿宋_GB2312" w:hAnsi="仿宋_GB2312" w:cs="仿宋_GB2312" w:eastAsia="仿宋_GB2312"/>
              </w:rPr>
              <w:t>(1)松材线虫病监测普查</w:t>
            </w:r>
          </w:p>
          <w:p>
            <w:pPr>
              <w:pStyle w:val="null3"/>
            </w:pPr>
            <w:r>
              <w:rPr>
                <w:rFonts w:ascii="仿宋_GB2312" w:hAnsi="仿宋_GB2312" w:cs="仿宋_GB2312" w:eastAsia="仿宋_GB2312"/>
              </w:rPr>
              <w:t>9月-11月对防控区域采用无人机和人工踏查相结合的方式进行松材线虫病监测普查，摸清松林面积、枯死松树数量和分布(坐标)及死亡原因，并取样10份进行镜检。监测普查面积2万亩。人工踏查线路设置11条，总长27公里。踏查过程中对新枯死松树进行取样，并对死亡松树分析死亡原因及核实无人机监测结果的准确性。监测普查过程中用工程相机等记录影像资料，用奥维地图手机软件记录踏查轨迹。</w:t>
            </w:r>
          </w:p>
          <w:p>
            <w:pPr>
              <w:pStyle w:val="null3"/>
              <w:numPr>
                <w:ilvl w:val="0"/>
                <w:numId w:val="1"/>
              </w:numPr>
            </w:pPr>
            <w:r>
              <w:rPr>
                <w:rFonts w:ascii="仿宋_GB2312" w:hAnsi="仿宋_GB2312" w:cs="仿宋_GB2312" w:eastAsia="仿宋_GB2312"/>
              </w:rPr>
              <w:t>松褐天牛防控</w:t>
            </w:r>
          </w:p>
          <w:p>
            <w:pPr>
              <w:pStyle w:val="null3"/>
            </w:pPr>
            <w:r>
              <w:rPr>
                <w:rFonts w:ascii="仿宋_GB2312" w:hAnsi="仿宋_GB2312" w:cs="仿宋_GB2312" w:eastAsia="仿宋_GB2312"/>
              </w:rPr>
              <w:t>10月底至12月中旬在重点防控区域内对松树进行打孔注药防控松材线虫病传播媒介昆虫松褐天牛。采购5%阿维菌素乳油或3%甲氨基阿维菌素苯甲酸盐微乳剂(50m1/支)21500支;松树打孔注药21500支。对每株打孔注药的松树必须登记其坐标、胸径、用药量(支)、健康状况、施工人员等信息，并统一编号每株树用工程相机留存影像资料。用药要求:10cm以下用1支药，10-25cm用2支药，25cm以上用3支药。</w:t>
            </w:r>
          </w:p>
          <w:p>
            <w:pPr>
              <w:pStyle w:val="null3"/>
            </w:pPr>
            <w:r>
              <w:rPr>
                <w:rFonts w:ascii="仿宋_GB2312" w:hAnsi="仿宋_GB2312" w:cs="仿宋_GB2312" w:eastAsia="仿宋_GB2312"/>
              </w:rPr>
              <w:t>3、目标任务：</w:t>
            </w:r>
          </w:p>
          <w:p>
            <w:pPr>
              <w:pStyle w:val="null3"/>
            </w:pPr>
            <w:r>
              <w:rPr>
                <w:rFonts w:ascii="仿宋_GB2312" w:hAnsi="仿宋_GB2312" w:cs="仿宋_GB2312" w:eastAsia="仿宋_GB2312"/>
              </w:rPr>
              <w:t>全面掌握重点防控区域枯死松树的分布、发生面积、危害程度等基本情况，为精准防控提供依据。完成松树打孔注药，降低松材线虫病传播媒介昆虫松褐天牛对重点防控区域松林的危害。</w:t>
            </w:r>
          </w:p>
          <w:p>
            <w:pPr>
              <w:pStyle w:val="null3"/>
              <w:numPr>
                <w:ilvl w:val="0"/>
                <w:numId w:val="1"/>
              </w:numPr>
            </w:pPr>
            <w:r>
              <w:rPr>
                <w:rFonts w:ascii="仿宋_GB2312" w:hAnsi="仿宋_GB2312" w:cs="仿宋_GB2312" w:eastAsia="仿宋_GB2312"/>
              </w:rPr>
              <w:t>绩效指标</w:t>
            </w:r>
          </w:p>
          <w:tbl>
            <w:tblPr>
              <w:tblInd w:type="dxa" w:w="24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vMerge w:val="restart"/>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年度绩效指标</w:t>
                  </w:r>
                </w:p>
              </w:tc>
              <w:tc>
                <w:tcPr>
                  <w:tcW w:type="dxa" w:w="511"/>
                </w:tcPr>
                <w:p>
                  <w:pPr>
                    <w:pStyle w:val="null3"/>
                  </w:pPr>
                  <w:r>
                    <w:rPr>
                      <w:rFonts w:ascii="仿宋_GB2312" w:hAnsi="仿宋_GB2312" w:cs="仿宋_GB2312" w:eastAsia="仿宋_GB2312"/>
                      <w:sz w:val="19"/>
                    </w:rPr>
                    <w:t>一级指标</w:t>
                  </w:r>
                </w:p>
              </w:tc>
              <w:tc>
                <w:tcPr>
                  <w:tcW w:type="dxa" w:w="511"/>
                </w:tcPr>
                <w:p>
                  <w:pPr>
                    <w:pStyle w:val="null3"/>
                  </w:pPr>
                  <w:r>
                    <w:rPr>
                      <w:rFonts w:ascii="仿宋_GB2312" w:hAnsi="仿宋_GB2312" w:cs="仿宋_GB2312" w:eastAsia="仿宋_GB2312"/>
                      <w:sz w:val="19"/>
                    </w:rPr>
                    <w:t>二级指标</w:t>
                  </w:r>
                </w:p>
              </w:tc>
              <w:tc>
                <w:tcPr>
                  <w:tcW w:type="dxa" w:w="511"/>
                </w:tcPr>
                <w:p>
                  <w:pPr>
                    <w:pStyle w:val="null3"/>
                  </w:pPr>
                  <w:r>
                    <w:rPr>
                      <w:rFonts w:ascii="仿宋_GB2312" w:hAnsi="仿宋_GB2312" w:cs="仿宋_GB2312" w:eastAsia="仿宋_GB2312"/>
                      <w:sz w:val="19"/>
                    </w:rPr>
                    <w:t>三级指标</w:t>
                  </w:r>
                </w:p>
              </w:tc>
              <w:tc>
                <w:tcPr>
                  <w:tcW w:type="dxa" w:w="511"/>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指标值</w:t>
                  </w:r>
                </w:p>
              </w:tc>
            </w:tr>
            <w:tr>
              <w:tc>
                <w:tcPr>
                  <w:tcW w:type="dxa" w:w="511"/>
                  <w:vMerge/>
                </w:tcPr>
                <w:p/>
              </w:tc>
              <w:tc>
                <w:tcPr>
                  <w:tcW w:type="dxa" w:w="511"/>
                </w:tcPr>
                <w:p>
                  <w:pPr>
                    <w:pStyle w:val="null3"/>
                  </w:pPr>
                  <w:r>
                    <w:rPr>
                      <w:rFonts w:ascii="仿宋_GB2312" w:hAnsi="仿宋_GB2312" w:cs="仿宋_GB2312" w:eastAsia="仿宋_GB2312"/>
                      <w:sz w:val="19"/>
                    </w:rPr>
                    <w:t>成本指标</w:t>
                  </w:r>
                </w:p>
              </w:tc>
              <w:tc>
                <w:tcPr>
                  <w:tcW w:type="dxa" w:w="511"/>
                </w:tcPr>
                <w:p>
                  <w:pPr>
                    <w:pStyle w:val="null3"/>
                  </w:pPr>
                  <w:r>
                    <w:rPr>
                      <w:rFonts w:ascii="仿宋_GB2312" w:hAnsi="仿宋_GB2312" w:cs="仿宋_GB2312" w:eastAsia="仿宋_GB2312"/>
                      <w:sz w:val="19"/>
                    </w:rPr>
                    <w:t>经济</w:t>
                  </w:r>
                </w:p>
                <w:p>
                  <w:pPr>
                    <w:pStyle w:val="null3"/>
                  </w:pPr>
                  <w:r>
                    <w:rPr>
                      <w:rFonts w:ascii="仿宋_GB2312" w:hAnsi="仿宋_GB2312" w:cs="仿宋_GB2312" w:eastAsia="仿宋_GB2312"/>
                      <w:sz w:val="19"/>
                    </w:rPr>
                    <w:t>成本</w:t>
                  </w:r>
                </w:p>
              </w:tc>
              <w:tc>
                <w:tcPr>
                  <w:tcW w:type="dxa" w:w="511"/>
                </w:tcPr>
                <w:p>
                  <w:pPr>
                    <w:pStyle w:val="null3"/>
                  </w:pPr>
                  <w:r>
                    <w:rPr>
                      <w:rFonts w:ascii="仿宋_GB2312" w:hAnsi="仿宋_GB2312" w:cs="仿宋_GB2312" w:eastAsia="仿宋_GB2312"/>
                      <w:sz w:val="19"/>
                    </w:rPr>
                    <w:t>松材线虫病监测普查（元／亩）</w:t>
                  </w:r>
                </w:p>
              </w:tc>
              <w:tc>
                <w:tcPr>
                  <w:tcW w:type="dxa" w:w="511"/>
                </w:tcPr>
                <w:p>
                  <w:pPr>
                    <w:pStyle w:val="null3"/>
                  </w:pPr>
                  <w:r>
                    <w:rPr>
                      <w:rFonts w:ascii="仿宋_GB2312" w:hAnsi="仿宋_GB2312" w:cs="仿宋_GB2312" w:eastAsia="仿宋_GB2312"/>
                      <w:sz w:val="19"/>
                    </w:rPr>
                    <w:t>≦3</w:t>
                  </w:r>
                </w:p>
              </w:tc>
            </w:tr>
            <w:tr>
              <w:tc>
                <w:tcPr>
                  <w:tcW w:type="dxa" w:w="511"/>
                  <w:vMerge/>
                </w:tcPr>
                <w:p/>
              </w:tc>
              <w:tc>
                <w:tcPr>
                  <w:tcW w:type="dxa" w:w="511"/>
                  <w:vMerge w:val="restart"/>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产出指标</w:t>
                  </w:r>
                </w:p>
              </w:tc>
              <w:tc>
                <w:tcPr>
                  <w:tcW w:type="dxa" w:w="511"/>
                  <w:vMerge w:val="restart"/>
                </w:tcPr>
                <w:p>
                  <w:pPr>
                    <w:pStyle w:val="null3"/>
                  </w:pPr>
                  <w:r>
                    <w:rPr>
                      <w:rFonts w:ascii="仿宋_GB2312" w:hAnsi="仿宋_GB2312" w:cs="仿宋_GB2312" w:eastAsia="仿宋_GB2312"/>
                      <w:sz w:val="19"/>
                    </w:rPr>
                    <w:t>数量指标</w:t>
                  </w:r>
                </w:p>
              </w:tc>
              <w:tc>
                <w:tcPr>
                  <w:tcW w:type="dxa" w:w="511"/>
                </w:tcPr>
                <w:p>
                  <w:pPr>
                    <w:pStyle w:val="null3"/>
                  </w:pPr>
                  <w:r>
                    <w:rPr>
                      <w:rFonts w:ascii="仿宋_GB2312" w:hAnsi="仿宋_GB2312" w:cs="仿宋_GB2312" w:eastAsia="仿宋_GB2312"/>
                      <w:sz w:val="19"/>
                    </w:rPr>
                    <w:t>松材线虫病重点区域防控任务（万亩）</w:t>
                  </w:r>
                </w:p>
              </w:tc>
              <w:tc>
                <w:tcPr>
                  <w:tcW w:type="dxa" w:w="511"/>
                </w:tcPr>
                <w:p>
                  <w:pPr>
                    <w:pStyle w:val="null3"/>
                  </w:pPr>
                  <w:r>
                    <w:rPr>
                      <w:rFonts w:ascii="仿宋_GB2312" w:hAnsi="仿宋_GB2312" w:cs="仿宋_GB2312" w:eastAsia="仿宋_GB2312"/>
                      <w:sz w:val="19"/>
                    </w:rPr>
                    <w:t>2</w:t>
                  </w:r>
                </w:p>
              </w:tc>
            </w:tr>
            <w:tr>
              <w:tc>
                <w:tcPr>
                  <w:tcW w:type="dxa" w:w="511"/>
                  <w:vMerge/>
                </w:tcPr>
                <w:p/>
              </w:tc>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松树打孔注药（支）</w:t>
                  </w:r>
                </w:p>
              </w:tc>
              <w:tc>
                <w:tcPr>
                  <w:tcW w:type="dxa" w:w="511"/>
                </w:tcPr>
                <w:p>
                  <w:pPr>
                    <w:pStyle w:val="null3"/>
                  </w:pPr>
                  <w:r>
                    <w:rPr>
                      <w:rFonts w:ascii="仿宋_GB2312" w:hAnsi="仿宋_GB2312" w:cs="仿宋_GB2312" w:eastAsia="仿宋_GB2312"/>
                      <w:sz w:val="19"/>
                    </w:rPr>
                    <w:t>21500</w:t>
                  </w:r>
                </w:p>
              </w:tc>
            </w:tr>
            <w:tr>
              <w:tc>
                <w:tcPr>
                  <w:tcW w:type="dxa" w:w="511"/>
                  <w:vMerge/>
                </w:tcPr>
                <w:p/>
              </w:tc>
              <w:tc>
                <w:tcPr>
                  <w:tcW w:type="dxa" w:w="511"/>
                  <w:vMerge/>
                </w:tcPr>
                <w:p/>
              </w:tc>
              <w:tc>
                <w:tcPr>
                  <w:tcW w:type="dxa" w:w="511"/>
                  <w:vMerge w:val="restart"/>
                </w:tcPr>
                <w:p>
                  <w:pPr>
                    <w:pStyle w:val="null3"/>
                  </w:pPr>
                  <w:r>
                    <w:rPr>
                      <w:rFonts w:ascii="仿宋_GB2312" w:hAnsi="仿宋_GB2312" w:cs="仿宋_GB2312" w:eastAsia="仿宋_GB2312"/>
                      <w:sz w:val="19"/>
                    </w:rPr>
                    <w:t>质量指标</w:t>
                  </w:r>
                </w:p>
              </w:tc>
              <w:tc>
                <w:tcPr>
                  <w:tcW w:type="dxa" w:w="511"/>
                </w:tcPr>
                <w:p>
                  <w:pPr>
                    <w:pStyle w:val="null3"/>
                  </w:pPr>
                  <w:r>
                    <w:rPr>
                      <w:rFonts w:ascii="仿宋_GB2312" w:hAnsi="仿宋_GB2312" w:cs="仿宋_GB2312" w:eastAsia="仿宋_GB2312"/>
                      <w:sz w:val="19"/>
                    </w:rPr>
                    <w:t>松材线虫病防控目标任务完成率（％）</w:t>
                  </w:r>
                </w:p>
              </w:tc>
              <w:tc>
                <w:tcPr>
                  <w:tcW w:type="dxa" w:w="511"/>
                </w:tcPr>
                <w:p>
                  <w:pPr>
                    <w:pStyle w:val="null3"/>
                  </w:pPr>
                  <w:r>
                    <w:rPr>
                      <w:rFonts w:ascii="仿宋_GB2312" w:hAnsi="仿宋_GB2312" w:cs="仿宋_GB2312" w:eastAsia="仿宋_GB2312"/>
                      <w:sz w:val="19"/>
                    </w:rPr>
                    <w:t>≧70%</w:t>
                  </w:r>
                </w:p>
              </w:tc>
            </w:tr>
            <w:tr>
              <w:tc>
                <w:tcPr>
                  <w:tcW w:type="dxa" w:w="511"/>
                  <w:vMerge/>
                </w:tcPr>
                <w:p/>
              </w:tc>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主要林业有害生物成灾率（％）</w:t>
                  </w:r>
                </w:p>
              </w:tc>
              <w:tc>
                <w:tcPr>
                  <w:tcW w:type="dxa" w:w="511"/>
                </w:tcPr>
                <w:p>
                  <w:pPr>
                    <w:pStyle w:val="null3"/>
                  </w:pPr>
                  <w:r>
                    <w:rPr>
                      <w:rFonts w:ascii="仿宋_GB2312" w:hAnsi="仿宋_GB2312" w:cs="仿宋_GB2312" w:eastAsia="仿宋_GB2312"/>
                      <w:sz w:val="19"/>
                    </w:rPr>
                    <w:t>≦1%</w:t>
                  </w:r>
                </w:p>
              </w:tc>
            </w:tr>
            <w:tr>
              <w:tc>
                <w:tcPr>
                  <w:tcW w:type="dxa" w:w="511"/>
                  <w:vMerge/>
                </w:tcPr>
                <w:p/>
              </w:tc>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各项作业达标率（％）</w:t>
                  </w:r>
                </w:p>
              </w:tc>
              <w:tc>
                <w:tcPr>
                  <w:tcW w:type="dxa" w:w="511"/>
                </w:tcPr>
                <w:p>
                  <w:pPr>
                    <w:pStyle w:val="null3"/>
                  </w:pPr>
                  <w:r>
                    <w:rPr>
                      <w:rFonts w:ascii="仿宋_GB2312" w:hAnsi="仿宋_GB2312" w:cs="仿宋_GB2312" w:eastAsia="仿宋_GB2312"/>
                      <w:sz w:val="19"/>
                    </w:rPr>
                    <w:t>≧90%</w:t>
                  </w:r>
                </w:p>
              </w:tc>
            </w:tr>
            <w:tr>
              <w:tc>
                <w:tcPr>
                  <w:tcW w:type="dxa" w:w="511"/>
                  <w:vMerge/>
                </w:tcPr>
                <w:p/>
              </w:tc>
              <w:tc>
                <w:tcPr>
                  <w:tcW w:type="dxa" w:w="511"/>
                  <w:vMerge/>
                </w:tcPr>
                <w:p/>
              </w:tc>
              <w:tc>
                <w:tcPr>
                  <w:tcW w:type="dxa" w:w="511"/>
                  <w:vMerge w:val="restart"/>
                </w:tcPr>
                <w:p>
                  <w:pPr>
                    <w:pStyle w:val="null3"/>
                  </w:pPr>
                  <w:r>
                    <w:rPr>
                      <w:rFonts w:ascii="仿宋_GB2312" w:hAnsi="仿宋_GB2312" w:cs="仿宋_GB2312" w:eastAsia="仿宋_GB2312"/>
                      <w:sz w:val="19"/>
                    </w:rPr>
                    <w:t>时效</w:t>
                  </w:r>
                </w:p>
                <w:p>
                  <w:pPr>
                    <w:pStyle w:val="null3"/>
                  </w:pPr>
                  <w:r>
                    <w:rPr>
                      <w:rFonts w:ascii="仿宋_GB2312" w:hAnsi="仿宋_GB2312" w:cs="仿宋_GB2312" w:eastAsia="仿宋_GB2312"/>
                      <w:sz w:val="19"/>
                    </w:rPr>
                    <w:t>指标</w:t>
                  </w:r>
                </w:p>
              </w:tc>
              <w:tc>
                <w:tcPr>
                  <w:tcW w:type="dxa" w:w="511"/>
                </w:tcPr>
                <w:p>
                  <w:pPr>
                    <w:pStyle w:val="null3"/>
                  </w:pPr>
                  <w:r>
                    <w:rPr>
                      <w:rFonts w:ascii="仿宋_GB2312" w:hAnsi="仿宋_GB2312" w:cs="仿宋_GB2312" w:eastAsia="仿宋_GB2312"/>
                      <w:sz w:val="19"/>
                    </w:rPr>
                    <w:t>当期任务完成率（％）</w:t>
                  </w:r>
                </w:p>
              </w:tc>
              <w:tc>
                <w:tcPr>
                  <w:tcW w:type="dxa" w:w="511"/>
                </w:tcPr>
                <w:p>
                  <w:pPr>
                    <w:pStyle w:val="null3"/>
                  </w:pPr>
                  <w:r>
                    <w:rPr>
                      <w:rFonts w:ascii="仿宋_GB2312" w:hAnsi="仿宋_GB2312" w:cs="仿宋_GB2312" w:eastAsia="仿宋_GB2312"/>
                      <w:sz w:val="19"/>
                    </w:rPr>
                    <w:t>≧90%</w:t>
                  </w:r>
                </w:p>
              </w:tc>
            </w:tr>
            <w:tr>
              <w:tc>
                <w:tcPr>
                  <w:tcW w:type="dxa" w:w="511"/>
                  <w:vMerge/>
                </w:tcPr>
                <w:p/>
              </w:tc>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执行时间</w:t>
                  </w:r>
                </w:p>
              </w:tc>
              <w:tc>
                <w:tcPr>
                  <w:tcW w:type="dxa" w:w="511"/>
                </w:tcPr>
                <w:p>
                  <w:pPr>
                    <w:pStyle w:val="null3"/>
                  </w:pPr>
                  <w:r>
                    <w:rPr>
                      <w:rFonts w:ascii="仿宋_GB2312" w:hAnsi="仿宋_GB2312" w:cs="仿宋_GB2312" w:eastAsia="仿宋_GB2312"/>
                      <w:sz w:val="19"/>
                    </w:rPr>
                    <w:t>2025年度</w:t>
                  </w:r>
                </w:p>
              </w:tc>
            </w:tr>
            <w:tr>
              <w:tc>
                <w:tcPr>
                  <w:tcW w:type="dxa" w:w="511"/>
                  <w:vMerge/>
                </w:tcPr>
                <w:p/>
              </w:tc>
              <w:tc>
                <w:tcPr>
                  <w:tcW w:type="dxa" w:w="511"/>
                  <w:vMerge w:val="restart"/>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效益</w:t>
                  </w:r>
                </w:p>
                <w:p>
                  <w:pPr>
                    <w:pStyle w:val="null3"/>
                  </w:pPr>
                  <w:r>
                    <w:rPr>
                      <w:rFonts w:ascii="仿宋_GB2312" w:hAnsi="仿宋_GB2312" w:cs="仿宋_GB2312" w:eastAsia="仿宋_GB2312"/>
                      <w:sz w:val="19"/>
                    </w:rPr>
                    <w:t>指标</w:t>
                  </w:r>
                </w:p>
              </w:tc>
              <w:tc>
                <w:tcPr>
                  <w:tcW w:type="dxa" w:w="511"/>
                </w:tcPr>
                <w:p>
                  <w:pPr>
                    <w:pStyle w:val="null3"/>
                  </w:pPr>
                  <w:r>
                    <w:rPr>
                      <w:rFonts w:ascii="仿宋_GB2312" w:hAnsi="仿宋_GB2312" w:cs="仿宋_GB2312" w:eastAsia="仿宋_GB2312"/>
                      <w:sz w:val="19"/>
                    </w:rPr>
                    <w:t>社会</w:t>
                  </w:r>
                </w:p>
                <w:p>
                  <w:pPr>
                    <w:pStyle w:val="null3"/>
                  </w:pPr>
                  <w:r>
                    <w:rPr>
                      <w:rFonts w:ascii="仿宋_GB2312" w:hAnsi="仿宋_GB2312" w:cs="仿宋_GB2312" w:eastAsia="仿宋_GB2312"/>
                      <w:sz w:val="19"/>
                    </w:rPr>
                    <w:t>效益</w:t>
                  </w:r>
                </w:p>
                <w:p>
                  <w:pPr>
                    <w:pStyle w:val="null3"/>
                  </w:pPr>
                  <w:r>
                    <w:rPr>
                      <w:rFonts w:ascii="仿宋_GB2312" w:hAnsi="仿宋_GB2312" w:cs="仿宋_GB2312" w:eastAsia="仿宋_GB2312"/>
                      <w:sz w:val="19"/>
                    </w:rPr>
                    <w:t>指标</w:t>
                  </w:r>
                </w:p>
              </w:tc>
              <w:tc>
                <w:tcPr>
                  <w:tcW w:type="dxa" w:w="511"/>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任务实施带动临时就业人数（人）</w:t>
                  </w:r>
                </w:p>
              </w:tc>
              <w:tc>
                <w:tcPr>
                  <w:tcW w:type="dxa" w:w="511"/>
                </w:tcPr>
                <w:p>
                  <w:pPr>
                    <w:pStyle w:val="null3"/>
                  </w:pPr>
                  <w:r>
                    <w:rPr>
                      <w:rFonts w:ascii="仿宋_GB2312" w:hAnsi="仿宋_GB2312" w:cs="仿宋_GB2312" w:eastAsia="仿宋_GB2312"/>
                      <w:sz w:val="19"/>
                    </w:rPr>
                    <w:t>≧3</w:t>
                  </w:r>
                </w:p>
              </w:tc>
            </w:tr>
            <w:tr>
              <w:tc>
                <w:tcPr>
                  <w:tcW w:type="dxa" w:w="511"/>
                  <w:vMerge/>
                </w:tcPr>
                <w:p/>
              </w:tc>
              <w:tc>
                <w:tcPr>
                  <w:tcW w:type="dxa" w:w="511"/>
                  <w:vMerge/>
                </w:tcPr>
                <w:p/>
              </w:tc>
              <w:tc>
                <w:tcPr>
                  <w:tcW w:type="dxa" w:w="511"/>
                  <w:vMerge w:val="restart"/>
                </w:tcPr>
                <w:p>
                  <w:pPr>
                    <w:pStyle w:val="null3"/>
                  </w:pPr>
                  <w:r>
                    <w:rPr>
                      <w:rFonts w:ascii="仿宋_GB2312" w:hAnsi="仿宋_GB2312" w:cs="仿宋_GB2312" w:eastAsia="仿宋_GB2312"/>
                      <w:sz w:val="19"/>
                    </w:rPr>
                    <w:t>生态效益指标</w:t>
                  </w:r>
                </w:p>
              </w:tc>
              <w:tc>
                <w:tcPr>
                  <w:tcW w:type="dxa" w:w="511"/>
                </w:tcPr>
                <w:p>
                  <w:pPr>
                    <w:pStyle w:val="null3"/>
                  </w:pPr>
                  <w:r>
                    <w:rPr>
                      <w:rFonts w:ascii="仿宋_GB2312" w:hAnsi="仿宋_GB2312" w:cs="仿宋_GB2312" w:eastAsia="仿宋_GB2312"/>
                      <w:sz w:val="19"/>
                    </w:rPr>
                    <w:t>林业草原有害生物无公害防治成效</w:t>
                  </w:r>
                </w:p>
              </w:tc>
              <w:tc>
                <w:tcPr>
                  <w:tcW w:type="dxa" w:w="511"/>
                </w:tcPr>
                <w:p>
                  <w:pPr>
                    <w:pStyle w:val="null3"/>
                  </w:pPr>
                  <w:r>
                    <w:rPr>
                      <w:rFonts w:ascii="仿宋_GB2312" w:hAnsi="仿宋_GB2312" w:cs="仿宋_GB2312" w:eastAsia="仿宋_GB2312"/>
                      <w:sz w:val="19"/>
                    </w:rPr>
                    <w:t>明显</w:t>
                  </w:r>
                </w:p>
              </w:tc>
            </w:tr>
            <w:tr>
              <w:tc>
                <w:tcPr>
                  <w:tcW w:type="dxa" w:w="511"/>
                  <w:vMerge/>
                </w:tcPr>
                <w:p/>
              </w:tc>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对地区森林生态系统生态效益发挥</w:t>
                  </w:r>
                </w:p>
              </w:tc>
              <w:tc>
                <w:tcPr>
                  <w:tcW w:type="dxa" w:w="511"/>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明显</w:t>
                  </w:r>
                </w:p>
              </w:tc>
            </w:tr>
            <w:tr>
              <w:tc>
                <w:tcPr>
                  <w:tcW w:type="dxa" w:w="511"/>
                  <w:vMerge/>
                </w:tcPr>
                <w:p/>
              </w:tc>
              <w:tc>
                <w:tcPr>
                  <w:tcW w:type="dxa" w:w="511"/>
                  <w:vMerge/>
                </w:tcPr>
                <w:p/>
              </w:tc>
              <w:tc>
                <w:tcPr>
                  <w:tcW w:type="dxa" w:w="511"/>
                  <w:vMerge w:val="restart"/>
                </w:tcPr>
                <w:p>
                  <w:pPr>
                    <w:pStyle w:val="null3"/>
                  </w:pPr>
                  <w:r>
                    <w:rPr>
                      <w:rFonts w:ascii="仿宋_GB2312" w:hAnsi="仿宋_GB2312" w:cs="仿宋_GB2312" w:eastAsia="仿宋_GB2312"/>
                      <w:sz w:val="19"/>
                    </w:rPr>
                    <w:t>可持续影响指标</w:t>
                  </w:r>
                </w:p>
              </w:tc>
              <w:tc>
                <w:tcPr>
                  <w:tcW w:type="dxa" w:w="511"/>
                </w:tcPr>
                <w:p>
                  <w:pPr>
                    <w:pStyle w:val="null3"/>
                  </w:pPr>
                  <w:r>
                    <w:rPr>
                      <w:rFonts w:ascii="仿宋_GB2312" w:hAnsi="仿宋_GB2312" w:cs="仿宋_GB2312" w:eastAsia="仿宋_GB2312"/>
                      <w:sz w:val="19"/>
                    </w:rPr>
                    <w:t>森林、草原、荒漠生态系统功能改善可持续影响</w:t>
                  </w:r>
                </w:p>
              </w:tc>
              <w:tc>
                <w:tcPr>
                  <w:tcW w:type="dxa" w:w="511"/>
                </w:tcPr>
                <w:p>
                  <w:pPr>
                    <w:pStyle w:val="null3"/>
                  </w:pPr>
                  <w:r>
                    <w:rPr>
                      <w:rFonts w:ascii="仿宋_GB2312" w:hAnsi="仿宋_GB2312" w:cs="仿宋_GB2312" w:eastAsia="仿宋_GB2312"/>
                      <w:sz w:val="19"/>
                    </w:rPr>
                    <w:t>明显</w:t>
                  </w:r>
                </w:p>
              </w:tc>
            </w:tr>
            <w:tr>
              <w:tc>
                <w:tcPr>
                  <w:tcW w:type="dxa" w:w="511"/>
                  <w:vMerge/>
                </w:tcPr>
                <w:p/>
              </w:tc>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政策影响年限</w:t>
                  </w:r>
                </w:p>
              </w:tc>
              <w:tc>
                <w:tcPr>
                  <w:tcW w:type="dxa" w:w="511"/>
                </w:tcPr>
                <w:p>
                  <w:pPr>
                    <w:pStyle w:val="null3"/>
                  </w:pPr>
                  <w:r>
                    <w:rPr>
                      <w:rFonts w:ascii="仿宋_GB2312" w:hAnsi="仿宋_GB2312" w:cs="仿宋_GB2312" w:eastAsia="仿宋_GB2312"/>
                      <w:sz w:val="19"/>
                    </w:rPr>
                    <w:t>≧1年</w:t>
                  </w:r>
                </w:p>
              </w:tc>
            </w:tr>
            <w:tr>
              <w:tc>
                <w:tcPr>
                  <w:tcW w:type="dxa" w:w="511"/>
                  <w:vMerge/>
                </w:tcPr>
                <w:p/>
              </w:tc>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生态环境是否持续向好</w:t>
                  </w:r>
                </w:p>
              </w:tc>
              <w:tc>
                <w:tcPr>
                  <w:tcW w:type="dxa" w:w="511"/>
                </w:tcPr>
                <w:p>
                  <w:pPr>
                    <w:pStyle w:val="null3"/>
                  </w:pPr>
                  <w:r>
                    <w:rPr>
                      <w:rFonts w:ascii="仿宋_GB2312" w:hAnsi="仿宋_GB2312" w:cs="仿宋_GB2312" w:eastAsia="仿宋_GB2312"/>
                      <w:sz w:val="19"/>
                    </w:rPr>
                    <w:t>是</w:t>
                  </w:r>
                </w:p>
              </w:tc>
            </w:tr>
            <w:tr>
              <w:tc>
                <w:tcPr>
                  <w:tcW w:type="dxa" w:w="511"/>
                  <w:vMerge/>
                </w:tcPr>
                <w:p/>
              </w:tc>
              <w:tc>
                <w:tcPr>
                  <w:tcW w:type="dxa" w:w="511"/>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满意度指标</w:t>
                  </w:r>
                </w:p>
              </w:tc>
              <w:tc>
                <w:tcPr>
                  <w:tcW w:type="dxa" w:w="511"/>
                </w:tcPr>
                <w:p>
                  <w:pPr>
                    <w:pStyle w:val="null3"/>
                  </w:pPr>
                  <w:r>
                    <w:rPr>
                      <w:rFonts w:ascii="仿宋_GB2312" w:hAnsi="仿宋_GB2312" w:cs="仿宋_GB2312" w:eastAsia="仿宋_GB2312"/>
                      <w:sz w:val="19"/>
                    </w:rPr>
                    <w:t>服务对象满意度指</w:t>
                  </w:r>
                </w:p>
                <w:p>
                  <w:pPr>
                    <w:pStyle w:val="null3"/>
                  </w:pPr>
                  <w:r>
                    <w:rPr>
                      <w:rFonts w:ascii="仿宋_GB2312" w:hAnsi="仿宋_GB2312" w:cs="仿宋_GB2312" w:eastAsia="仿宋_GB2312"/>
                      <w:sz w:val="19"/>
                    </w:rPr>
                    <w:t>标</w:t>
                  </w:r>
                </w:p>
              </w:tc>
              <w:tc>
                <w:tcPr>
                  <w:tcW w:type="dxa" w:w="511"/>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项目涉及职工及周边群众满意度（％）</w:t>
                  </w:r>
                </w:p>
              </w:tc>
              <w:tc>
                <w:tcPr>
                  <w:tcW w:type="dxa" w:w="511"/>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≧85%</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①采用植保部门防治要求的药剂，所有药剂必须符合国家的“三证”要求；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项目完成后，由采购方组织上级主管部门、财政统一验收。验收合格、审计完成后报财政局一次性支付合同价款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依据磋商文件及双方合同约定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 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3、提供响应文件递交截止时间前近六个月中至少一个月的纳税证明或完税证明，依法免税的单位应提供相关证明材料；时间以税款所属时期为准 4、提供响应文件递交截止时间前近六个月中至少一个月的社会保障资金缴存单据或社保机构开具的社会保险参保缴费情况证明，依法不需要缴纳社会保障资金的单位应提供相关证明材料。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其他资格证明文件.docx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其他资格证明文件.docx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其他资格证明文件.docx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供应商应提供林业有害生物防治（防治作业）丙级及以上资质证书。</w:t>
            </w:r>
          </w:p>
        </w:tc>
        <w:tc>
          <w:tcPr>
            <w:tcW w:type="dxa" w:w="1661"/>
          </w:tcPr>
          <w:p>
            <w:pPr>
              <w:pStyle w:val="null3"/>
            </w:pPr>
            <w:r>
              <w:rPr>
                <w:rFonts w:ascii="仿宋_GB2312" w:hAnsi="仿宋_GB2312" w:cs="仿宋_GB2312" w:eastAsia="仿宋_GB2312"/>
              </w:rPr>
              <w:t>其他资格证明文件.docx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供应商磋商报价没有超出采购预算或最高限价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项目实施服务方案</w:t>
            </w:r>
          </w:p>
        </w:tc>
        <w:tc>
          <w:tcPr>
            <w:tcW w:type="dxa" w:w="2492"/>
          </w:tcPr>
          <w:p>
            <w:pPr>
              <w:pStyle w:val="null3"/>
            </w:pPr>
            <w:r>
              <w:rPr>
                <w:rFonts w:ascii="仿宋_GB2312" w:hAnsi="仿宋_GB2312" w:cs="仿宋_GB2312" w:eastAsia="仿宋_GB2312"/>
              </w:rPr>
              <w:t>一、针对本项目提供的需求制定合理的方案，包括但不限于以下内容：①防治目标和标准②进度保证方案③质量保证措施④监测普查方案⑤防治成效方案⑥安全保证措施，并按照以下标准评审： 二、评审标准 1、完整性：方案必须全面，对评审内容中的各项要求有详细描述； 2、可实施性：切合本项目实际情况，提出步骤清晰、合理的方案； 3、针对性：方案能够紧扣项目实际情况，内容科学合理。 三、赋分标准（满分36分） ①防治目标和标准：每满足一个评审标准得2分，不满足得0分，满分6分； ②进度保证方案：每满足一个评审标准得2分，不满足得0分，满分6分； ③质量保证措施：每满足一个评审标准得2分，不满足得0分，满分6分； ④监测普查方案：每满足一个评审标准得2分，不满足得0分，满分6分； ⑤防治成效方案：每满足一个评审标准得2分，不满足得0分，满分6分； ⑥安全保证措施：每满足一个评审标准得2分，不满足得0分，满分6分；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防治药剂</w:t>
            </w:r>
          </w:p>
        </w:tc>
        <w:tc>
          <w:tcPr>
            <w:tcW w:type="dxa" w:w="2492"/>
          </w:tcPr>
          <w:p>
            <w:pPr>
              <w:pStyle w:val="null3"/>
            </w:pPr>
            <w:r>
              <w:rPr>
                <w:rFonts w:ascii="仿宋_GB2312" w:hAnsi="仿宋_GB2312" w:cs="仿宋_GB2312" w:eastAsia="仿宋_GB2312"/>
              </w:rPr>
              <w:t>①5%阿维菌素乳油②3%甲氨基阿维菌素苯甲酸盐微乳剂，每提供一项上述药剂的质量合格证明资料及产品来源正规证明资料计4分，满分8分。 证明资料如：产品合格证、质量检测报告、进货单、供货合同等均可。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供应商针对本项目配备的人员团队，包括但不限于人员配备、团队组织机构、职能分工、专业经验等。 （1）专业人员配备数量满足本项目要求或能够保障本项目的实施的的5分，基本满足得3分，较难满足的得1分；未提供或不满足不得分。 （2）提供团队人员详细信息（清单内容应包含：人员姓名、年龄、学历、专业技能、工作经验等）；团队人员专业、经验丰富得5分，人员较专业，具备一定的经验得3分，人员专业性差，经验差得1分； （3）团队组织架构及职能分工科学合理得5分； 团队组织架构及职能分工较合理较清晰得3分。 团队组织架构及职能分工不够合理清晰得1分。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供应商针对本项目提出应急预案内容符合采购人需求且详细完善，涵盖了可能出现的各类突发事件（如药物中毒、山火、野外事故、偏远地区人员安全事故等突发安全事件等）；并按以下标准评审： （1）方案完整，对事件的应急响应流程、责任分工、应急资源调配等方面有明确规定、针对性及科学合理的得10分； （2）方案完整性较高，对常见突发事件有一定的考虑，可实施性清晰较合理，针对性一般的得7分； （3）方案完整性不高，可实施性一般，对事件的分析和应对措施缺乏针对性的得4分； （4）方案仅简单说明，方案措施不完整、不清晰的得1分， （5）未提供不得分。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作业前培训</w:t>
            </w:r>
          </w:p>
        </w:tc>
        <w:tc>
          <w:tcPr>
            <w:tcW w:type="dxa" w:w="2492"/>
          </w:tcPr>
          <w:p>
            <w:pPr>
              <w:pStyle w:val="null3"/>
            </w:pPr>
            <w:r>
              <w:rPr>
                <w:rFonts w:ascii="仿宋_GB2312" w:hAnsi="仿宋_GB2312" w:cs="仿宋_GB2312" w:eastAsia="仿宋_GB2312"/>
              </w:rPr>
              <w:t>一、供应商针对本项目提供详细作业前培训方案，包括但不限于①科学作业培训②防治重难点培训③安全及应急培训；并按以下标准评审： 二、评审标准 1、完整性：方案必须全面，对评审内容中的各项要求有详细描述； 2、可实施性：切合本项目实际情况，提出步骤清晰、合理的方案； 3、针对性：方案能够紧扣项目实际情况，内容科学合理。 三、赋分标准（满分9分） ①科学作业培训方案：每满足一个评审标准得1分，不满足得0分，满分3分； ②防治重难点培训方案：每满足一个评审标准得1分，不满足得0分，满分3分； ③安全及应急培训方案：每满足一个评审标准得1分，不满足得0分，满分3分；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提供供应商2022年6月1日至今承担的类似项目业绩（合同）（以合同签订日期为准），每提供1个得4分，最高得12分。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详见附件：其他资格证明文件.docx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