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ascii="仿宋" w:hAnsi="仿宋" w:eastAsia="仿宋" w:cs="仿宋"/>
          <w:sz w:val="24"/>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360CBC59">
      <w:p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en-US" w:eastAsia="zh-CN" w:bidi="ar-SA"/>
        </w:rPr>
        <w:t>一、</w:t>
      </w: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29F12F0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3A2FC650">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A57D832">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65D79714">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3C7571A0">
      <w:pPr>
        <w:rPr>
          <w:rFonts w:hint="eastAsia" w:ascii="仿宋" w:hAnsi="仿宋" w:eastAsia="仿宋" w:cs="仿宋"/>
          <w:color w:val="000000"/>
          <w:kern w:val="0"/>
          <w:sz w:val="24"/>
        </w:rPr>
      </w:pPr>
    </w:p>
    <w:p w14:paraId="0B82D2DD">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4F13A34D">
      <w:pPr>
        <w:ind w:firstLine="480"/>
        <w:rPr>
          <w:rFonts w:hint="eastAsia" w:ascii="仿宋" w:hAnsi="仿宋" w:eastAsia="仿宋" w:cs="仿宋"/>
          <w:color w:val="000000"/>
          <w:kern w:val="0"/>
          <w:sz w:val="24"/>
        </w:rPr>
      </w:pPr>
    </w:p>
    <w:p w14:paraId="422ECE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C1F9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340C6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05E7E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0FBAE4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5009F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BF6A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526C24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92A8A2C">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14B75C7F">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F462A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738CC492">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 xml:space="preserve">截止时间前近六个月中至少一个月的纳税证明或完税证明，依法免税的单位应提供相关证明材料；时间以税款所属时期为准 </w:t>
      </w:r>
    </w:p>
    <w:p w14:paraId="3DD23A8D">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4444006C">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0F76F64E">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截止时间前近六个月中至少一个月的社会保障资金缴存单据或社保机构开具的社会保险参保缴费情况证明，依法不需要缴纳社会保障资金的单位应提供相关证明材料。</w:t>
      </w:r>
    </w:p>
    <w:p w14:paraId="46EC0BE9">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31440F16">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5CAC891A">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ascii="仿宋_GB2312" w:hAnsi="仿宋_GB2312" w:eastAsia="仿宋_GB2312" w:cs="仿宋_GB2312"/>
          <w:color w:val="auto"/>
          <w:highlight w:val="none"/>
        </w:rPr>
        <w:t xml:space="preserve"> 5、提供有效的参加政府采购活动前3年内在经营活动中没有重大违法记录的书面声明。</w:t>
      </w:r>
    </w:p>
    <w:p w14:paraId="7BB54E65">
      <w:pPr>
        <w:adjustRightInd w:val="0"/>
        <w:spacing w:line="360" w:lineRule="atLeast"/>
        <w:jc w:val="left"/>
        <w:textAlignment w:val="baseline"/>
        <w:rPr>
          <w:rFonts w:ascii="仿宋" w:hAnsi="仿宋" w:eastAsia="仿宋" w:cs="仿宋"/>
          <w:b/>
          <w:sz w:val="28"/>
          <w:highlight w:val="none"/>
        </w:rPr>
      </w:pPr>
    </w:p>
    <w:p w14:paraId="02F9A9C1">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sz w:val="28"/>
          <w:highlight w:val="none"/>
        </w:rPr>
        <w:t xml:space="preserve"> </w:t>
      </w: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59D11A11">
      <w:pPr>
        <w:rPr>
          <w:rFonts w:hint="eastAsia" w:ascii="仿宋" w:hAnsi="仿宋" w:eastAsia="仿宋" w:cs="仿宋"/>
          <w:color w:val="000000"/>
          <w:kern w:val="0"/>
          <w:sz w:val="24"/>
        </w:rPr>
      </w:pPr>
    </w:p>
    <w:p w14:paraId="757789EC">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1F1C6C9C">
      <w:pPr>
        <w:ind w:firstLine="480"/>
        <w:rPr>
          <w:rFonts w:hint="eastAsia" w:ascii="仿宋" w:hAnsi="仿宋" w:eastAsia="仿宋" w:cs="仿宋"/>
          <w:color w:val="000000"/>
          <w:kern w:val="0"/>
          <w:sz w:val="24"/>
        </w:rPr>
      </w:pPr>
    </w:p>
    <w:p w14:paraId="466A004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84D3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6A84D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4619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630B3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EE66033">
      <w:pPr>
        <w:ind w:firstLine="480"/>
        <w:rPr>
          <w:rFonts w:hint="eastAsia" w:ascii="仿宋" w:hAnsi="仿宋" w:eastAsia="仿宋" w:cs="仿宋"/>
          <w:color w:val="000000"/>
          <w:kern w:val="0"/>
          <w:sz w:val="24"/>
          <w:lang w:eastAsia="zh-CN"/>
        </w:rPr>
      </w:pPr>
    </w:p>
    <w:p w14:paraId="5430A2E1">
      <w:pPr>
        <w:rPr>
          <w:rFonts w:hint="eastAsia" w:ascii="仿宋" w:hAnsi="仿宋" w:eastAsia="仿宋" w:cs="仿宋"/>
          <w:b/>
          <w:color w:val="000000"/>
          <w:sz w:val="24"/>
        </w:rPr>
      </w:pPr>
    </w:p>
    <w:p w14:paraId="58DCD72B">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574A1AB">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28C8C3">
      <w:pPr>
        <w:adjustRightInd w:val="0"/>
        <w:spacing w:line="360" w:lineRule="atLeast"/>
        <w:jc w:val="left"/>
        <w:textAlignment w:val="baseline"/>
        <w:rPr>
          <w:rFonts w:hint="eastAsia" w:ascii="仿宋" w:hAnsi="仿宋" w:eastAsia="仿宋" w:cs="仿宋"/>
          <w:b/>
          <w:sz w:val="28"/>
          <w:highlight w:val="none"/>
        </w:rPr>
      </w:pPr>
    </w:p>
    <w:p w14:paraId="676DAEDF">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2F59588F">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p>
    <w:p w14:paraId="3C39692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w:t>
      </w:r>
      <w:r>
        <w:rPr>
          <w:rFonts w:ascii="仿宋_GB2312" w:hAnsi="仿宋_GB2312" w:eastAsia="仿宋_GB2312" w:cs="仿宋_GB2312"/>
          <w:b/>
          <w:bCs/>
          <w:color w:val="0000FF"/>
          <w:highlight w:val="none"/>
        </w:rPr>
        <w:t>注册会计师行业统一监管平台备案赋码</w:t>
      </w:r>
      <w:r>
        <w:rPr>
          <w:rFonts w:ascii="仿宋_GB2312" w:hAnsi="仿宋_GB2312" w:eastAsia="仿宋_GB2312" w:cs="仿宋_GB2312"/>
          <w:color w:val="auto"/>
          <w:highlight w:val="none"/>
        </w:rPr>
        <w:t>。②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0B7EDD06">
      <w:pPr>
        <w:jc w:val="left"/>
        <w:outlineLvl w:val="9"/>
        <w:rPr>
          <w:rFonts w:hint="eastAsia" w:ascii="仿宋" w:hAnsi="仿宋" w:eastAsia="仿宋" w:cs="仿宋"/>
          <w:b/>
          <w:sz w:val="24"/>
          <w:lang w:val="en-US" w:eastAsia="zh-CN"/>
        </w:rPr>
      </w:pPr>
    </w:p>
    <w:p w14:paraId="3F9E3197">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5F38F32C">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三、供应商特定资格条件</w:t>
      </w:r>
    </w:p>
    <w:p w14:paraId="79FC353C">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1、供应商在递交响应文件截止时间前被“信用中国 ” 网站（www.creditchina.gov.cn）和中国政 府采购网（www.ccgp.gov.cn）上被列入失信 被执行人、重大税收违法失信主体、政府采购 严重违法失信行为记录名单的，不得参加磋商：</w:t>
      </w:r>
    </w:p>
    <w:p w14:paraId="18E6CDB0">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（1）信用中国及中国政府采购网查询资料（可提供，以现场查询为准）</w:t>
      </w:r>
    </w:p>
    <w:p w14:paraId="29509B6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（2）其他</w:t>
      </w:r>
    </w:p>
    <w:p w14:paraId="4BB1231E"/>
    <w:p w14:paraId="5D59ED82"/>
    <w:p w14:paraId="577234AE">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2、供应商应</w:t>
      </w:r>
      <w:bookmarkStart w:id="0" w:name="_GoBack"/>
      <w:bookmarkEnd w:id="0"/>
      <w:r>
        <w:rPr>
          <w:rFonts w:hint="eastAsia" w:ascii="仿宋" w:hAnsi="仿宋" w:eastAsia="仿宋" w:cs="仿宋"/>
          <w:kern w:val="2"/>
          <w:sz w:val="24"/>
          <w:szCs w:val="24"/>
          <w:lang w:val="en-US" w:eastAsia="zh-CN" w:bidi="ar-SA"/>
        </w:rPr>
        <w:t>提供林业有害生物防治（防治作业）丙级及以上资质证书。</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CD017"/>
    <w:multiLevelType w:val="singleLevel"/>
    <w:tmpl w:val="A42CD01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70B125C"/>
    <w:rsid w:val="0EDA46E0"/>
    <w:rsid w:val="2105312C"/>
    <w:rsid w:val="212E4233"/>
    <w:rsid w:val="25AD37B3"/>
    <w:rsid w:val="32EE3BC6"/>
    <w:rsid w:val="4629227B"/>
    <w:rsid w:val="6F3F7B68"/>
    <w:rsid w:val="75B01AD0"/>
    <w:rsid w:val="77C33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1707</Words>
  <Characters>1754</Characters>
  <Lines>0</Lines>
  <Paragraphs>0</Paragraphs>
  <TotalTime>0</TotalTime>
  <ScaleCrop>false</ScaleCrop>
  <LinksUpToDate>false</LinksUpToDate>
  <CharactersWithSpaces>1836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admin</cp:lastModifiedBy>
  <dcterms:modified xsi:type="dcterms:W3CDTF">2025-07-01T07:23:44Z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889A1A315FF34E8382A3BCE5E50B389A_12</vt:lpwstr>
  </property>
  <property fmtid="{D5CDD505-2E9C-101B-9397-08002B2CF9AE}" pid="4" name="KSOTemplateDocerSaveRecord">
    <vt:lpwstr>eyJoZGlkIjoiNDIyN2E3ODkyYjI1ZmIyMTVkYTg4N2M1OGU4YjhlY2MiLCJ1c2VySWQiOiIxMTcyNDcyOSJ9</vt:lpwstr>
  </property>
</Properties>
</file>