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版本号：HXGJXM2025-ZC-CS106020250710001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2025年长安区学校食堂“互联网＋明厨亮灶”平台服务及新增监控点位项目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HXGJXM2025-ZC-CS1060</w:t>
      </w:r>
      <w:r>
        <w:br/>
      </w:r>
      <w:r>
        <w:br/>
      </w:r>
      <w:r>
        <w:br/>
      </w:r>
    </w:p>
    <w:p>
      <w:pPr>
        <w:pStyle w:val="null3"/>
        <w:jc w:val="center"/>
        <w:outlineLvl w:val="2"/>
      </w:pPr>
      <w:r>
        <w:rPr>
          <w:rFonts w:ascii="仿宋_GB2312" w:hAnsi="仿宋_GB2312" w:cs="仿宋_GB2312" w:eastAsia="仿宋_GB2312"/>
          <w:sz w:val="28"/>
          <w:b/>
        </w:rPr>
        <w:t>西安市长安区学生资助管理中心</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西安市长安区学生资助管理中心</w:t>
      </w:r>
      <w:r>
        <w:rPr>
          <w:rFonts w:ascii="仿宋_GB2312" w:hAnsi="仿宋_GB2312" w:cs="仿宋_GB2312" w:eastAsia="仿宋_GB2312"/>
        </w:rPr>
        <w:t>委托，拟对</w:t>
      </w:r>
      <w:r>
        <w:rPr>
          <w:rFonts w:ascii="仿宋_GB2312" w:hAnsi="仿宋_GB2312" w:cs="仿宋_GB2312" w:eastAsia="仿宋_GB2312"/>
        </w:rPr>
        <w:t>2025年长安区学校食堂“互联网＋明厨亮灶”平台服务及新增监控点位项目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HXGJXM2025-ZC-CS1060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2025年长安区学校食堂“互联网＋明厨亮灶”平台服务及新增监控点位项目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保障全区校园食品安全，按照区委“校园食品安全和膳食经费管理”专项巡察整改及上级相关部门对大宗食材进货查验“有条件的学校应保留影像资料”的要求，本着合理利用、整合资源的原则，拟在原“明厨亮灶”监控系统平台基础上为每所学校新增1路食材验收监控视频点位，同时，确保“互联网+明厨亮灶”系统继续平稳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磋商截止日前一年内已缴存的至少一个月的社会保障资金凭证）；法定代表人直接参加磋商，须提供法定代表人身份证明。</w:t>
      </w:r>
    </w:p>
    <w:p>
      <w:pPr>
        <w:pStyle w:val="null3"/>
      </w:pPr>
      <w:r>
        <w:rPr>
          <w:rFonts w:ascii="仿宋_GB2312" w:hAnsi="仿宋_GB2312" w:cs="仿宋_GB2312" w:eastAsia="仿宋_GB2312"/>
        </w:rPr>
        <w:t>2、信用记录：供应商未被“信用中国”网站列入失信被执行人和重大税收违法失信主体，未被中国政府采购网列入政府采购严重违法失信行为记录名单(处罚期限届满的除外)（以现场信用记录查询结果为准）</w:t>
      </w:r>
    </w:p>
    <w:p>
      <w:pPr>
        <w:pStyle w:val="null3"/>
      </w:pPr>
      <w:r>
        <w:rPr>
          <w:rFonts w:ascii="仿宋_GB2312" w:hAnsi="仿宋_GB2312" w:cs="仿宋_GB2312" w:eastAsia="仿宋_GB2312"/>
        </w:rPr>
        <w:t>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西安市长安区学生资助管理中心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西安市长安区长安南街258号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029-89057203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西安市莲湖区二环南路西段202号九座花园16层1605室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宋文倩、康敏茹、张艳萍、刘锦江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029-88899970-830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采购包1：477,200.00元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 户名：华夏国际项目管理（西安）有限公司 开户行:中国工商银行股份有限公司西安城南科技支行 账号:3700024819200130193 请中标供应商按照要求将服务费汇入以上指定账户，如因自身原因发生错误，产生的不利后果均由供应商自行承担。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西安市长安区学生资助管理中心</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西安市长安区学生资助管理中心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西安市长安区学生资助管理中心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联系人：宋文倩、康敏茹、张艳萍、刘锦江</w:t>
      </w:r>
    </w:p>
    <w:p>
      <w:pPr>
        <w:pStyle w:val="null3"/>
      </w:pPr>
      <w:r>
        <w:rPr>
          <w:rFonts w:ascii="仿宋_GB2312" w:hAnsi="仿宋_GB2312" w:cs="仿宋_GB2312" w:eastAsia="仿宋_GB2312"/>
        </w:rPr>
        <w:t>联系电话： 029-88899970-830</w:t>
      </w:r>
    </w:p>
    <w:p>
      <w:pPr>
        <w:pStyle w:val="null3"/>
      </w:pPr>
      <w:r>
        <w:rPr>
          <w:rFonts w:ascii="仿宋_GB2312" w:hAnsi="仿宋_GB2312" w:cs="仿宋_GB2312" w:eastAsia="仿宋_GB2312"/>
        </w:rPr>
        <w:t>地址：西安市莲湖区二环南路西段202号九座花园16层1605室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2025年长安区学校食堂“互联网＋明厨亮灶”平台服务及新增监控点位项目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477,200.00</w:t>
      </w:r>
    </w:p>
    <w:p>
      <w:pPr>
        <w:pStyle w:val="null3"/>
      </w:pPr>
      <w:r>
        <w:rPr>
          <w:rFonts w:ascii="仿宋_GB2312" w:hAnsi="仿宋_GB2312" w:cs="仿宋_GB2312" w:eastAsia="仿宋_GB2312"/>
        </w:rPr>
        <w:t>采购包最高限价（元）: 477,200.00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学校食堂“互联网＋明厨亮灶”平台服务及新增监控点位</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477,200.00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标的名称：学校食堂“互联网＋明厨亮灶”平台服务及新增监控点位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招标要求</w:t>
            </w:r>
            <w:r>
              <w:rPr>
                <w:rFonts w:ascii="仿宋_GB2312" w:hAnsi="仿宋_GB2312" w:cs="仿宋_GB2312" w:eastAsia="仿宋_GB2312"/>
                <w:sz w:val="21"/>
                <w:b/>
              </w:rPr>
              <w:t xml:space="preserve">  </w:t>
            </w:r>
          </w:p>
          <w:p>
            <w:pPr>
              <w:pStyle w:val="null3"/>
              <w:jc w:val="both"/>
            </w:pPr>
            <w:r>
              <w:rPr>
                <w:rFonts w:ascii="仿宋_GB2312" w:hAnsi="仿宋_GB2312" w:cs="仿宋_GB2312" w:eastAsia="仿宋_GB2312"/>
                <w:sz w:val="21"/>
              </w:rPr>
              <w:t>1、项目名称：2025年长安区学校食堂“互联网＋明厨亮灶”平台服务及新增监控点位项目</w:t>
            </w:r>
          </w:p>
          <w:p>
            <w:pPr>
              <w:pStyle w:val="null3"/>
              <w:jc w:val="both"/>
            </w:pPr>
            <w:r>
              <w:rPr>
                <w:rFonts w:ascii="仿宋_GB2312" w:hAnsi="仿宋_GB2312" w:cs="仿宋_GB2312" w:eastAsia="仿宋_GB2312"/>
                <w:sz w:val="21"/>
              </w:rPr>
              <w:t>2、服务期：一年</w:t>
            </w:r>
          </w:p>
          <w:p>
            <w:pPr>
              <w:pStyle w:val="null3"/>
              <w:jc w:val="both"/>
            </w:pPr>
            <w:r>
              <w:rPr>
                <w:rFonts w:ascii="仿宋_GB2312" w:hAnsi="仿宋_GB2312" w:cs="仿宋_GB2312" w:eastAsia="仿宋_GB2312"/>
                <w:sz w:val="21"/>
              </w:rPr>
              <w:t>3、实施地点：采购人指定地点</w:t>
            </w:r>
          </w:p>
          <w:p>
            <w:pPr>
              <w:pStyle w:val="null3"/>
              <w:jc w:val="both"/>
            </w:pPr>
            <w:r>
              <w:rPr>
                <w:rFonts w:ascii="仿宋_GB2312" w:hAnsi="仿宋_GB2312" w:cs="仿宋_GB2312" w:eastAsia="仿宋_GB2312"/>
                <w:sz w:val="21"/>
              </w:rPr>
              <w:t>4、质保期：一年</w:t>
            </w:r>
          </w:p>
          <w:p>
            <w:pPr>
              <w:pStyle w:val="null3"/>
              <w:jc w:val="both"/>
            </w:pPr>
            <w:r>
              <w:rPr>
                <w:rFonts w:ascii="仿宋_GB2312" w:hAnsi="仿宋_GB2312" w:cs="仿宋_GB2312" w:eastAsia="仿宋_GB2312"/>
                <w:sz w:val="21"/>
                <w:b/>
              </w:rPr>
              <w:t>二、技术参数</w:t>
            </w:r>
          </w:p>
          <w:tbl>
            <w:tblPr>
              <w:tblInd w:type="dxa" w:w="120"/>
              <w:tblBorders>
                <w:top w:val="none" w:color="000000" w:sz="4"/>
                <w:left w:val="none" w:color="000000" w:sz="4"/>
                <w:bottom w:val="none" w:color="000000" w:sz="4"/>
                <w:right w:val="none" w:color="000000" w:sz="4"/>
                <w:insideH w:val="none"/>
                <w:insideV w:val="none"/>
              </w:tblBorders>
            </w:tblPr>
            <w:tblGrid>
              <w:gridCol w:w="194"/>
              <w:gridCol w:w="185"/>
              <w:gridCol w:w="1384"/>
              <w:gridCol w:w="164"/>
              <w:gridCol w:w="291"/>
              <w:gridCol w:w="324"/>
            </w:tblGrid>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类别</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w:t>
                  </w:r>
                </w:p>
              </w:tc>
              <w:tc>
                <w:tcPr>
                  <w:tcW w:type="dxa" w:w="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19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摄像头</w:t>
                  </w:r>
                </w:p>
              </w:tc>
              <w:tc>
                <w:tcPr>
                  <w:tcW w:type="dxa" w:w="18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POE摄像头</w:t>
                  </w:r>
                </w:p>
              </w:tc>
              <w:tc>
                <w:tcPr>
                  <w:tcW w:type="dxa" w:w="1384"/>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图像/镜头/视频 ：400万像素CMOS图像传感器 /支持红外夜视自动切换 /H.265/H.264/2560(H)*1440(V)</w:t>
                  </w:r>
                </w:p>
              </w:tc>
              <w:tc>
                <w:tcPr>
                  <w:tcW w:type="dxa" w:w="16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305</w:t>
                  </w:r>
                </w:p>
              </w:tc>
              <w:tc>
                <w:tcPr>
                  <w:tcW w:type="dxa" w:w="29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2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质保或服务期一年</w:t>
                  </w:r>
                </w:p>
              </w:tc>
            </w:tr>
            <w:tr>
              <w:tc>
                <w:tcPr>
                  <w:tcW w:type="dxa" w:w="194"/>
                  <w:vMerge/>
                  <w:tcBorders>
                    <w:top w:val="none" w:color="000000" w:sz="4"/>
                    <w:left w:val="single" w:color="000000" w:sz="4"/>
                    <w:bottom w:val="none" w:color="000000" w:sz="4"/>
                    <w:right w:val="single" w:color="000000" w:sz="4"/>
                  </w:tcBorders>
                </w:tcPr>
                <w:p/>
              </w:tc>
              <w:tc>
                <w:tcPr>
                  <w:tcW w:type="dxa" w:w="185"/>
                  <w:vMerge/>
                  <w:tcBorders>
                    <w:top w:val="none" w:color="000000" w:sz="4"/>
                    <w:left w:val="none" w:color="000000" w:sz="4"/>
                    <w:bottom w:val="none" w:color="000000" w:sz="4"/>
                    <w:right w:val="single" w:color="000000" w:sz="4"/>
                  </w:tcBorders>
                </w:tcPr>
                <w:p/>
              </w:tc>
              <w:tc>
                <w:tcPr>
                  <w:tcW w:type="dxa" w:w="1384"/>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音频：支持数字音频编码/内置麦克风和喇叭/支持双向语音对讲</w:t>
                  </w:r>
                  <w:r>
                    <w:rPr>
                      <w:rFonts w:ascii="仿宋_GB2312" w:hAnsi="仿宋_GB2312" w:cs="仿宋_GB2312" w:eastAsia="仿宋_GB2312"/>
                      <w:sz w:val="21"/>
                      <w:color w:val="000000"/>
                    </w:rPr>
                    <w:t xml:space="preserve">/支持云存储  </w:t>
                  </w:r>
                </w:p>
              </w:tc>
              <w:tc>
                <w:tcPr>
                  <w:tcW w:type="dxa" w:w="164"/>
                  <w:vMerge/>
                  <w:tcBorders>
                    <w:top w:val="none" w:color="000000" w:sz="4"/>
                    <w:left w:val="none" w:color="000000" w:sz="4"/>
                    <w:bottom w:val="none" w:color="000000" w:sz="4"/>
                    <w:right w:val="single" w:color="000000" w:sz="4"/>
                  </w:tcBorders>
                </w:tcPr>
                <w:p/>
              </w:tc>
              <w:tc>
                <w:tcPr>
                  <w:tcW w:type="dxa" w:w="291"/>
                  <w:vMerge/>
                  <w:tcBorders>
                    <w:top w:val="none" w:color="000000" w:sz="4"/>
                    <w:left w:val="none" w:color="000000" w:sz="4"/>
                    <w:bottom w:val="none" w:color="000000" w:sz="4"/>
                    <w:right w:val="single" w:color="000000" w:sz="4"/>
                  </w:tcBorders>
                </w:tcPr>
                <w:p/>
              </w:tc>
              <w:tc>
                <w:tcPr>
                  <w:tcW w:type="dxa" w:w="324"/>
                  <w:vMerge/>
                  <w:tcBorders>
                    <w:top w:val="none" w:color="000000" w:sz="4"/>
                    <w:left w:val="none" w:color="000000" w:sz="4"/>
                    <w:bottom w:val="none" w:color="000000" w:sz="4"/>
                    <w:right w:val="single" w:color="000000" w:sz="4"/>
                  </w:tcBorders>
                </w:tcPr>
                <w:p/>
              </w:tc>
            </w:tr>
            <w:tr>
              <w:tc>
                <w:tcPr>
                  <w:tcW w:type="dxa" w:w="194"/>
                  <w:vMerge/>
                  <w:tcBorders>
                    <w:top w:val="none" w:color="000000" w:sz="4"/>
                    <w:left w:val="single" w:color="000000" w:sz="4"/>
                    <w:bottom w:val="none" w:color="000000" w:sz="4"/>
                    <w:right w:val="single" w:color="000000" w:sz="4"/>
                  </w:tcBorders>
                </w:tcPr>
                <w:p/>
              </w:tc>
              <w:tc>
                <w:tcPr>
                  <w:tcW w:type="dxa" w:w="185"/>
                  <w:vMerge/>
                  <w:tcBorders>
                    <w:top w:val="none" w:color="000000" w:sz="4"/>
                    <w:left w:val="none" w:color="000000" w:sz="4"/>
                    <w:bottom w:val="none" w:color="000000" w:sz="4"/>
                    <w:right w:val="single" w:color="000000" w:sz="4"/>
                  </w:tcBorders>
                </w:tcPr>
                <w:p/>
              </w:tc>
              <w:tc>
                <w:tcPr>
                  <w:tcW w:type="dxa" w:w="1384"/>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视频存储：支持市监局平台接入/内置使用向导，快速完成网络配置</w:t>
                  </w:r>
                </w:p>
              </w:tc>
              <w:tc>
                <w:tcPr>
                  <w:tcW w:type="dxa" w:w="164"/>
                  <w:vMerge/>
                  <w:tcBorders>
                    <w:top w:val="none" w:color="000000" w:sz="4"/>
                    <w:left w:val="none" w:color="000000" w:sz="4"/>
                    <w:bottom w:val="none" w:color="000000" w:sz="4"/>
                    <w:right w:val="single" w:color="000000" w:sz="4"/>
                  </w:tcBorders>
                </w:tcPr>
                <w:p/>
              </w:tc>
              <w:tc>
                <w:tcPr>
                  <w:tcW w:type="dxa" w:w="291"/>
                  <w:vMerge/>
                  <w:tcBorders>
                    <w:top w:val="none" w:color="000000" w:sz="4"/>
                    <w:left w:val="none" w:color="000000" w:sz="4"/>
                    <w:bottom w:val="none" w:color="000000" w:sz="4"/>
                    <w:right w:val="single" w:color="000000" w:sz="4"/>
                  </w:tcBorders>
                </w:tcPr>
                <w:p/>
              </w:tc>
              <w:tc>
                <w:tcPr>
                  <w:tcW w:type="dxa" w:w="324"/>
                  <w:vMerge/>
                  <w:tcBorders>
                    <w:top w:val="none" w:color="000000" w:sz="4"/>
                    <w:left w:val="none" w:color="000000" w:sz="4"/>
                    <w:bottom w:val="none" w:color="000000" w:sz="4"/>
                    <w:right w:val="single" w:color="000000" w:sz="4"/>
                  </w:tcBorders>
                </w:tcPr>
                <w:p/>
              </w:tc>
            </w:tr>
            <w:tr>
              <w:tc>
                <w:tcPr>
                  <w:tcW w:type="dxa" w:w="194"/>
                  <w:vMerge/>
                  <w:tcBorders>
                    <w:top w:val="none" w:color="000000" w:sz="4"/>
                    <w:left w:val="single" w:color="000000" w:sz="4"/>
                    <w:bottom w:val="none" w:color="000000" w:sz="4"/>
                    <w:right w:val="single" w:color="000000" w:sz="4"/>
                  </w:tcBorders>
                </w:tcPr>
                <w:p/>
              </w:tc>
              <w:tc>
                <w:tcPr>
                  <w:tcW w:type="dxa" w:w="185"/>
                  <w:vMerge/>
                  <w:tcBorders>
                    <w:top w:val="none" w:color="000000" w:sz="4"/>
                    <w:left w:val="none" w:color="000000" w:sz="4"/>
                    <w:bottom w:val="none" w:color="000000" w:sz="4"/>
                    <w:right w:val="single" w:color="000000" w:sz="4"/>
                  </w:tcBorders>
                </w:tcPr>
                <w:p/>
              </w:tc>
              <w:tc>
                <w:tcPr>
                  <w:tcW w:type="dxa" w:w="1384"/>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支持视频录播，时移回看</w:t>
                  </w:r>
                </w:p>
              </w:tc>
              <w:tc>
                <w:tcPr>
                  <w:tcW w:type="dxa" w:w="164"/>
                  <w:vMerge/>
                  <w:tcBorders>
                    <w:top w:val="none" w:color="000000" w:sz="4"/>
                    <w:left w:val="none" w:color="000000" w:sz="4"/>
                    <w:bottom w:val="none" w:color="000000" w:sz="4"/>
                    <w:right w:val="single" w:color="000000" w:sz="4"/>
                  </w:tcBorders>
                </w:tcPr>
                <w:p/>
              </w:tc>
              <w:tc>
                <w:tcPr>
                  <w:tcW w:type="dxa" w:w="291"/>
                  <w:vMerge/>
                  <w:tcBorders>
                    <w:top w:val="none" w:color="000000" w:sz="4"/>
                    <w:left w:val="none" w:color="000000" w:sz="4"/>
                    <w:bottom w:val="none" w:color="000000" w:sz="4"/>
                    <w:right w:val="single" w:color="000000" w:sz="4"/>
                  </w:tcBorders>
                </w:tcPr>
                <w:p/>
              </w:tc>
              <w:tc>
                <w:tcPr>
                  <w:tcW w:type="dxa" w:w="324"/>
                  <w:vMerge/>
                  <w:tcBorders>
                    <w:top w:val="none" w:color="000000" w:sz="4"/>
                    <w:left w:val="none" w:color="000000" w:sz="4"/>
                    <w:bottom w:val="none" w:color="000000" w:sz="4"/>
                    <w:right w:val="single" w:color="000000" w:sz="4"/>
                  </w:tcBorders>
                </w:tcPr>
                <w:p/>
              </w:tc>
            </w:tr>
            <w:tr>
              <w:tc>
                <w:tcPr>
                  <w:tcW w:type="dxa" w:w="194"/>
                  <w:vMerge/>
                  <w:tcBorders>
                    <w:top w:val="none" w:color="000000" w:sz="4"/>
                    <w:left w:val="single" w:color="000000" w:sz="4"/>
                    <w:bottom w:val="none" w:color="000000" w:sz="4"/>
                    <w:right w:val="single" w:color="000000" w:sz="4"/>
                  </w:tcBorders>
                </w:tcPr>
                <w:p/>
              </w:tc>
              <w:tc>
                <w:tcPr>
                  <w:tcW w:type="dxa" w:w="185"/>
                  <w:vMerge/>
                  <w:tcBorders>
                    <w:top w:val="none" w:color="000000" w:sz="4"/>
                    <w:left w:val="none" w:color="000000" w:sz="4"/>
                    <w:bottom w:val="none" w:color="000000" w:sz="4"/>
                    <w:right w:val="single" w:color="000000" w:sz="4"/>
                  </w:tcBorders>
                </w:tcPr>
                <w:p/>
              </w:tc>
              <w:tc>
                <w:tcPr>
                  <w:tcW w:type="dxa" w:w="1384"/>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网络接入：1个RJ45支持10M/100M自适应以太网口</w:t>
                  </w:r>
                </w:p>
              </w:tc>
              <w:tc>
                <w:tcPr>
                  <w:tcW w:type="dxa" w:w="164"/>
                  <w:vMerge/>
                  <w:tcBorders>
                    <w:top w:val="none" w:color="000000" w:sz="4"/>
                    <w:left w:val="none" w:color="000000" w:sz="4"/>
                    <w:bottom w:val="none" w:color="000000" w:sz="4"/>
                    <w:right w:val="single" w:color="000000" w:sz="4"/>
                  </w:tcBorders>
                </w:tcPr>
                <w:p/>
              </w:tc>
              <w:tc>
                <w:tcPr>
                  <w:tcW w:type="dxa" w:w="291"/>
                  <w:vMerge/>
                  <w:tcBorders>
                    <w:top w:val="none" w:color="000000" w:sz="4"/>
                    <w:left w:val="none" w:color="000000" w:sz="4"/>
                    <w:bottom w:val="none" w:color="000000" w:sz="4"/>
                    <w:right w:val="single" w:color="000000" w:sz="4"/>
                  </w:tcBorders>
                </w:tcPr>
                <w:p/>
              </w:tc>
              <w:tc>
                <w:tcPr>
                  <w:tcW w:type="dxa" w:w="324"/>
                  <w:vMerge/>
                  <w:tcBorders>
                    <w:top w:val="none" w:color="000000" w:sz="4"/>
                    <w:left w:val="none" w:color="000000" w:sz="4"/>
                    <w:bottom w:val="none" w:color="000000" w:sz="4"/>
                    <w:right w:val="single" w:color="000000" w:sz="4"/>
                  </w:tcBorders>
                </w:tcPr>
                <w:p/>
              </w:tc>
            </w:tr>
            <w:tr>
              <w:tc>
                <w:tcPr>
                  <w:tcW w:type="dxa" w:w="194"/>
                  <w:vMerge/>
                  <w:tcBorders>
                    <w:top w:val="none" w:color="000000" w:sz="4"/>
                    <w:left w:val="single" w:color="000000" w:sz="4"/>
                    <w:bottom w:val="none" w:color="000000" w:sz="4"/>
                    <w:right w:val="single" w:color="000000" w:sz="4"/>
                  </w:tcBorders>
                </w:tcPr>
                <w:p/>
              </w:tc>
              <w:tc>
                <w:tcPr>
                  <w:tcW w:type="dxa" w:w="185"/>
                  <w:vMerge/>
                  <w:tcBorders>
                    <w:top w:val="none" w:color="000000" w:sz="4"/>
                    <w:left w:val="none" w:color="000000" w:sz="4"/>
                    <w:bottom w:val="none" w:color="000000" w:sz="4"/>
                    <w:right w:val="single" w:color="000000" w:sz="4"/>
                  </w:tcBorders>
                </w:tcPr>
                <w:p/>
              </w:tc>
              <w:tc>
                <w:tcPr>
                  <w:tcW w:type="dxa" w:w="1384"/>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支持POE联网供电</w:t>
                  </w:r>
                </w:p>
              </w:tc>
              <w:tc>
                <w:tcPr>
                  <w:tcW w:type="dxa" w:w="164"/>
                  <w:vMerge/>
                  <w:tcBorders>
                    <w:top w:val="none" w:color="000000" w:sz="4"/>
                    <w:left w:val="none" w:color="000000" w:sz="4"/>
                    <w:bottom w:val="none" w:color="000000" w:sz="4"/>
                    <w:right w:val="single" w:color="000000" w:sz="4"/>
                  </w:tcBorders>
                </w:tcPr>
                <w:p/>
              </w:tc>
              <w:tc>
                <w:tcPr>
                  <w:tcW w:type="dxa" w:w="291"/>
                  <w:vMerge/>
                  <w:tcBorders>
                    <w:top w:val="none" w:color="000000" w:sz="4"/>
                    <w:left w:val="none" w:color="000000" w:sz="4"/>
                    <w:bottom w:val="none" w:color="000000" w:sz="4"/>
                    <w:right w:val="single" w:color="000000" w:sz="4"/>
                  </w:tcBorders>
                </w:tcPr>
                <w:p/>
              </w:tc>
              <w:tc>
                <w:tcPr>
                  <w:tcW w:type="dxa" w:w="324"/>
                  <w:vMerge/>
                  <w:tcBorders>
                    <w:top w:val="none" w:color="000000" w:sz="4"/>
                    <w:left w:val="none" w:color="000000" w:sz="4"/>
                    <w:bottom w:val="none" w:color="000000" w:sz="4"/>
                    <w:right w:val="single" w:color="000000" w:sz="4"/>
                  </w:tcBorders>
                </w:tcPr>
                <w:p/>
              </w:tc>
            </w:tr>
            <w:tr>
              <w:tc>
                <w:tcPr>
                  <w:tcW w:type="dxa" w:w="194"/>
                  <w:vMerge/>
                  <w:tcBorders>
                    <w:top w:val="none" w:color="000000" w:sz="4"/>
                    <w:left w:val="single" w:color="000000" w:sz="4"/>
                    <w:bottom w:val="none" w:color="000000" w:sz="4"/>
                    <w:right w:val="single" w:color="000000" w:sz="4"/>
                  </w:tcBorders>
                </w:tcPr>
                <w:p/>
              </w:tc>
              <w:tc>
                <w:tcPr>
                  <w:tcW w:type="dxa" w:w="185"/>
                  <w:vMerge/>
                  <w:tcBorders>
                    <w:top w:val="none" w:color="000000" w:sz="4"/>
                    <w:left w:val="none" w:color="000000" w:sz="4"/>
                    <w:bottom w:val="none" w:color="000000" w:sz="4"/>
                    <w:right w:val="single" w:color="000000" w:sz="4"/>
                  </w:tcBorders>
                </w:tcPr>
                <w:p/>
              </w:tc>
              <w:tc>
                <w:tcPr>
                  <w:tcW w:type="dxa" w:w="1384"/>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IP67  防尘防水</w:t>
                  </w:r>
                </w:p>
              </w:tc>
              <w:tc>
                <w:tcPr>
                  <w:tcW w:type="dxa" w:w="164"/>
                  <w:vMerge/>
                  <w:tcBorders>
                    <w:top w:val="none" w:color="000000" w:sz="4"/>
                    <w:left w:val="none" w:color="000000" w:sz="4"/>
                    <w:bottom w:val="none" w:color="000000" w:sz="4"/>
                    <w:right w:val="single" w:color="000000" w:sz="4"/>
                  </w:tcBorders>
                </w:tcPr>
                <w:p/>
              </w:tc>
              <w:tc>
                <w:tcPr>
                  <w:tcW w:type="dxa" w:w="291"/>
                  <w:vMerge/>
                  <w:tcBorders>
                    <w:top w:val="none" w:color="000000" w:sz="4"/>
                    <w:left w:val="none" w:color="000000" w:sz="4"/>
                    <w:bottom w:val="none" w:color="000000" w:sz="4"/>
                    <w:right w:val="single" w:color="000000" w:sz="4"/>
                  </w:tcBorders>
                </w:tcPr>
                <w:p/>
              </w:tc>
              <w:tc>
                <w:tcPr>
                  <w:tcW w:type="dxa" w:w="324"/>
                  <w:vMerge/>
                  <w:tcBorders>
                    <w:top w:val="none" w:color="000000" w:sz="4"/>
                    <w:left w:val="none" w:color="000000" w:sz="4"/>
                    <w:bottom w:val="none" w:color="000000" w:sz="4"/>
                    <w:right w:val="single" w:color="000000" w:sz="4"/>
                  </w:tcBorders>
                </w:tcPr>
                <w:p/>
              </w:tc>
            </w:tr>
            <w:tr>
              <w:tc>
                <w:tcPr>
                  <w:tcW w:type="dxa" w:w="194"/>
                  <w:vMerge/>
                  <w:tcBorders>
                    <w:top w:val="none" w:color="000000" w:sz="4"/>
                    <w:left w:val="single" w:color="000000" w:sz="4"/>
                    <w:bottom w:val="none" w:color="000000" w:sz="4"/>
                    <w:right w:val="single" w:color="000000" w:sz="4"/>
                  </w:tcBorders>
                </w:tcPr>
                <w:p/>
              </w:tc>
              <w:tc>
                <w:tcPr>
                  <w:tcW w:type="dxa" w:w="185"/>
                  <w:vMerge/>
                  <w:tcBorders>
                    <w:top w:val="none" w:color="000000" w:sz="4"/>
                    <w:left w:val="none" w:color="000000" w:sz="4"/>
                    <w:bottom w:val="none" w:color="000000" w:sz="4"/>
                    <w:right w:val="single" w:color="000000" w:sz="4"/>
                  </w:tcBorders>
                </w:tcP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 ~ 50℃</w:t>
                  </w:r>
                </w:p>
              </w:tc>
              <w:tc>
                <w:tcPr>
                  <w:tcW w:type="dxa" w:w="164"/>
                  <w:vMerge/>
                  <w:tcBorders>
                    <w:top w:val="none" w:color="000000" w:sz="4"/>
                    <w:left w:val="none" w:color="000000" w:sz="4"/>
                    <w:bottom w:val="none" w:color="000000" w:sz="4"/>
                    <w:right w:val="single" w:color="000000" w:sz="4"/>
                  </w:tcBorders>
                </w:tcPr>
                <w:p/>
              </w:tc>
              <w:tc>
                <w:tcPr>
                  <w:tcW w:type="dxa" w:w="291"/>
                  <w:vMerge/>
                  <w:tcBorders>
                    <w:top w:val="none" w:color="000000" w:sz="4"/>
                    <w:left w:val="none" w:color="000000" w:sz="4"/>
                    <w:bottom w:val="none" w:color="000000" w:sz="4"/>
                    <w:right w:val="single" w:color="000000" w:sz="4"/>
                  </w:tcBorders>
                </w:tcPr>
                <w:p/>
              </w:tc>
              <w:tc>
                <w:tcPr>
                  <w:tcW w:type="dxa" w:w="324"/>
                  <w:vMerge/>
                  <w:tcBorders>
                    <w:top w:val="none" w:color="000000" w:sz="4"/>
                    <w:left w:val="none" w:color="000000" w:sz="4"/>
                    <w:bottom w:val="none" w:color="000000" w:sz="4"/>
                    <w:right w:val="single" w:color="000000" w:sz="4"/>
                  </w:tcBorders>
                </w:tcPr>
                <w:p/>
              </w:tc>
            </w:tr>
            <w:tr>
              <w:tc>
                <w:tcPr>
                  <w:tcW w:type="dxa" w:w="194"/>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平台服务器</w:t>
                  </w:r>
                </w:p>
              </w:tc>
              <w:tc>
                <w:tcPr>
                  <w:tcW w:type="dxa" w:w="185"/>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管理平台</w:t>
                  </w:r>
                </w:p>
              </w:tc>
              <w:tc>
                <w:tcPr>
                  <w:tcW w:type="dxa" w:w="138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联网+明厨亮灶”智慧平台是在安防监控管理场景下打造以视频AI算法为核心的高效监控联网、安全防范管理、存储、软硬一体化平台，可分权、分域、分级进行授权实时监控、截图、录像、下载、回看，满足可标准化、快速放装的需求：</w:t>
                  </w:r>
                </w:p>
                <w:p>
                  <w:pPr>
                    <w:pStyle w:val="null3"/>
                    <w:jc w:val="left"/>
                  </w:pPr>
                  <w:r>
                    <w:rPr>
                      <w:rFonts w:ascii="仿宋_GB2312" w:hAnsi="仿宋_GB2312" w:cs="仿宋_GB2312" w:eastAsia="仿宋_GB2312"/>
                      <w:sz w:val="21"/>
                      <w:color w:val="000000"/>
                    </w:rPr>
                    <w:t>1、视频监控：提供实时直播与轮巡播放等直播、视频录制、视频截屏等功能</w:t>
                  </w:r>
                </w:p>
              </w:tc>
              <w:tc>
                <w:tcPr>
                  <w:tcW w:type="dxa" w:w="1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24"/>
                  <w:vMerge/>
                  <w:tcBorders>
                    <w:top w:val="none" w:color="000000" w:sz="4"/>
                    <w:left w:val="none" w:color="000000" w:sz="4"/>
                    <w:bottom w:val="none" w:color="000000" w:sz="4"/>
                    <w:right w:val="single" w:color="000000" w:sz="4"/>
                  </w:tcBorders>
                </w:tcPr>
                <w:p/>
              </w:tc>
            </w:tr>
            <w:tr>
              <w:tc>
                <w:tcPr>
                  <w:tcW w:type="dxa" w:w="194"/>
                  <w:vMerge/>
                  <w:tcBorders>
                    <w:top w:val="single" w:color="000000" w:sz="4"/>
                    <w:left w:val="single" w:color="000000" w:sz="4"/>
                    <w:bottom w:val="none" w:color="000000" w:sz="4"/>
                    <w:right w:val="single" w:color="000000" w:sz="4"/>
                  </w:tcBorders>
                </w:tcPr>
                <w:p/>
              </w:tc>
              <w:tc>
                <w:tcPr>
                  <w:tcW w:type="dxa" w:w="185"/>
                  <w:vMerge/>
                  <w:tcBorders>
                    <w:top w:val="single" w:color="000000" w:sz="4"/>
                    <w:left w:val="none" w:color="000000" w:sz="4"/>
                    <w:bottom w:val="none" w:color="000000" w:sz="4"/>
                    <w:right w:val="single" w:color="000000" w:sz="4"/>
                  </w:tcBorders>
                </w:tcPr>
                <w:p/>
              </w:tc>
              <w:tc>
                <w:tcPr>
                  <w:tcW w:type="dxa" w:w="138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2、存储服务：提供云存储查看、存储视频搜索、存储视频下载、图片抓拍等存储功；</w:t>
                  </w:r>
                </w:p>
              </w:tc>
              <w:tc>
                <w:tcPr>
                  <w:tcW w:type="dxa" w:w="164"/>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324"/>
                  <w:vMerge/>
                  <w:tcBorders>
                    <w:top w:val="none" w:color="000000" w:sz="4"/>
                    <w:left w:val="none" w:color="000000" w:sz="4"/>
                    <w:bottom w:val="none" w:color="000000" w:sz="4"/>
                    <w:right w:val="single" w:color="000000" w:sz="4"/>
                  </w:tcBorders>
                </w:tcPr>
                <w:p/>
              </w:tc>
            </w:tr>
            <w:tr>
              <w:tc>
                <w:tcPr>
                  <w:tcW w:type="dxa" w:w="194"/>
                  <w:vMerge/>
                  <w:tcBorders>
                    <w:top w:val="single" w:color="000000" w:sz="4"/>
                    <w:left w:val="single" w:color="000000" w:sz="4"/>
                    <w:bottom w:val="none" w:color="000000" w:sz="4"/>
                    <w:right w:val="single" w:color="000000" w:sz="4"/>
                  </w:tcBorders>
                </w:tcPr>
                <w:p/>
              </w:tc>
              <w:tc>
                <w:tcPr>
                  <w:tcW w:type="dxa" w:w="185"/>
                  <w:vMerge/>
                  <w:tcBorders>
                    <w:top w:val="single" w:color="000000" w:sz="4"/>
                    <w:left w:val="none" w:color="000000" w:sz="4"/>
                    <w:bottom w:val="none" w:color="000000" w:sz="4"/>
                    <w:right w:val="single" w:color="000000" w:sz="4"/>
                  </w:tcBorders>
                </w:tcPr>
                <w:p/>
              </w:tc>
              <w:tc>
                <w:tcPr>
                  <w:tcW w:type="dxa" w:w="138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设备管控：提供APP客户端添加设备、设备绑定、设备挂靠、设备经纬度上报、设备查看、设备搜索等终端设备管理功能，绑定终端设备固件升级功能，支持终端设备云台控制、授权分享、红外夜视（全彩夜视）等功能；</w:t>
                  </w:r>
                </w:p>
              </w:tc>
              <w:tc>
                <w:tcPr>
                  <w:tcW w:type="dxa" w:w="164"/>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324"/>
                  <w:vMerge/>
                  <w:tcBorders>
                    <w:top w:val="none" w:color="000000" w:sz="4"/>
                    <w:left w:val="none" w:color="000000" w:sz="4"/>
                    <w:bottom w:val="none" w:color="000000" w:sz="4"/>
                    <w:right w:val="single" w:color="000000" w:sz="4"/>
                  </w:tcBorders>
                </w:tcPr>
                <w:p/>
              </w:tc>
            </w:tr>
            <w:tr>
              <w:tc>
                <w:tcPr>
                  <w:tcW w:type="dxa" w:w="194"/>
                  <w:vMerge/>
                  <w:tcBorders>
                    <w:top w:val="single" w:color="000000" w:sz="4"/>
                    <w:left w:val="single" w:color="000000" w:sz="4"/>
                    <w:bottom w:val="none" w:color="000000" w:sz="4"/>
                    <w:right w:val="single" w:color="000000" w:sz="4"/>
                  </w:tcBorders>
                </w:tcPr>
                <w:p/>
              </w:tc>
              <w:tc>
                <w:tcPr>
                  <w:tcW w:type="dxa" w:w="185"/>
                  <w:vMerge/>
                  <w:tcBorders>
                    <w:top w:val="single" w:color="000000" w:sz="4"/>
                    <w:left w:val="none" w:color="000000" w:sz="4"/>
                    <w:bottom w:val="none" w:color="000000" w:sz="4"/>
                    <w:right w:val="single" w:color="000000" w:sz="4"/>
                  </w:tcBorders>
                </w:tcPr>
                <w:p/>
              </w:tc>
              <w:tc>
                <w:tcPr>
                  <w:tcW w:type="dxa" w:w="138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4、语音和消息服务：提供用户与终端设备对象语音对讲功能，终端设备上下线、云存储断网补录、人形侦测等消息告警功能，客户端支持终端设备语音播报等功能，支持一键告警功能；</w:t>
                  </w:r>
                </w:p>
              </w:tc>
              <w:tc>
                <w:tcPr>
                  <w:tcW w:type="dxa" w:w="164"/>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324"/>
                  <w:vMerge/>
                  <w:tcBorders>
                    <w:top w:val="none" w:color="000000" w:sz="4"/>
                    <w:left w:val="none" w:color="000000" w:sz="4"/>
                    <w:bottom w:val="none" w:color="000000" w:sz="4"/>
                    <w:right w:val="single" w:color="000000" w:sz="4"/>
                  </w:tcBorders>
                </w:tcPr>
                <w:p/>
              </w:tc>
            </w:tr>
            <w:tr>
              <w:tc>
                <w:tcPr>
                  <w:tcW w:type="dxa" w:w="194"/>
                  <w:vMerge/>
                  <w:tcBorders>
                    <w:top w:val="single" w:color="000000" w:sz="4"/>
                    <w:left w:val="single" w:color="000000" w:sz="4"/>
                    <w:bottom w:val="none" w:color="000000" w:sz="4"/>
                    <w:right w:val="single" w:color="000000" w:sz="4"/>
                  </w:tcBorders>
                </w:tcPr>
                <w:p/>
              </w:tc>
              <w:tc>
                <w:tcPr>
                  <w:tcW w:type="dxa" w:w="185"/>
                  <w:vMerge/>
                  <w:tcBorders>
                    <w:top w:val="single" w:color="000000" w:sz="4"/>
                    <w:left w:val="none" w:color="000000" w:sz="4"/>
                    <w:bottom w:val="none" w:color="000000" w:sz="4"/>
                    <w:right w:val="single" w:color="000000" w:sz="4"/>
                  </w:tcBorders>
                </w:tcPr>
                <w:p/>
              </w:tc>
              <w:tc>
                <w:tcPr>
                  <w:tcW w:type="dxa" w:w="138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账号与层级管理：提供子账号开通及分权分域管理授权等功能，直播、回看、云台控制权限分离等控制管理功能。通过客户端/监控平台自定义业务树层级架构，支持用户自定义业务树层级数据的多端同步；支持通过线上签约授权的形式，授权上级企业查看设备视频流权限，用户通过在级联模块输入级联码的形式完成对单个/多个终端设备，或选择目录层级的向上级联。支持在级联时，可分别对直播、回看、云台控制权限进行控制管理；</w:t>
                  </w:r>
                </w:p>
              </w:tc>
              <w:tc>
                <w:tcPr>
                  <w:tcW w:type="dxa" w:w="164"/>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324"/>
                  <w:vMerge/>
                  <w:tcBorders>
                    <w:top w:val="none" w:color="000000" w:sz="4"/>
                    <w:left w:val="none" w:color="000000" w:sz="4"/>
                    <w:bottom w:val="none" w:color="000000" w:sz="4"/>
                    <w:right w:val="single" w:color="000000" w:sz="4"/>
                  </w:tcBorders>
                </w:tcPr>
                <w:p/>
              </w:tc>
            </w:tr>
            <w:tr>
              <w:tc>
                <w:tcPr>
                  <w:tcW w:type="dxa" w:w="194"/>
                  <w:vMerge/>
                  <w:tcBorders>
                    <w:top w:val="single" w:color="000000" w:sz="4"/>
                    <w:left w:val="single" w:color="000000" w:sz="4"/>
                    <w:bottom w:val="none" w:color="000000" w:sz="4"/>
                    <w:right w:val="single" w:color="000000" w:sz="4"/>
                  </w:tcBorders>
                </w:tcPr>
                <w:p/>
              </w:tc>
              <w:tc>
                <w:tcPr>
                  <w:tcW w:type="dxa" w:w="185"/>
                  <w:vMerge/>
                  <w:tcBorders>
                    <w:top w:val="single" w:color="000000" w:sz="4"/>
                    <w:left w:val="none" w:color="000000" w:sz="4"/>
                    <w:bottom w:val="none" w:color="000000" w:sz="4"/>
                    <w:right w:val="single" w:color="000000" w:sz="4"/>
                  </w:tcBorders>
                </w:tcPr>
                <w:p/>
              </w:tc>
              <w:tc>
                <w:tcPr>
                  <w:tcW w:type="dxa" w:w="138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6、AI分析：支持通过客户端查看自有的智能分析数据，如口罩、厨师工作服、厨师帽手套、抽烟、接打电话、垃圾桶、老鼠等动物入侵等，数据支持按照时间段、数据类型等进行数据检索；</w:t>
                  </w:r>
                </w:p>
              </w:tc>
              <w:tc>
                <w:tcPr>
                  <w:tcW w:type="dxa" w:w="164"/>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324"/>
                  <w:vMerge/>
                  <w:tcBorders>
                    <w:top w:val="none" w:color="000000" w:sz="4"/>
                    <w:left w:val="none" w:color="000000" w:sz="4"/>
                    <w:bottom w:val="none" w:color="000000" w:sz="4"/>
                    <w:right w:val="single" w:color="000000" w:sz="4"/>
                  </w:tcBorders>
                </w:tcPr>
                <w:p/>
              </w:tc>
            </w:tr>
            <w:tr>
              <w:tc>
                <w:tcPr>
                  <w:tcW w:type="dxa" w:w="194"/>
                  <w:vMerge/>
                  <w:tcBorders>
                    <w:top w:val="single" w:color="000000" w:sz="4"/>
                    <w:left w:val="single" w:color="000000" w:sz="4"/>
                    <w:bottom w:val="none" w:color="000000" w:sz="4"/>
                    <w:right w:val="single" w:color="000000" w:sz="4"/>
                  </w:tcBorders>
                </w:tcPr>
                <w:p/>
              </w:tc>
              <w:tc>
                <w:tcPr>
                  <w:tcW w:type="dxa" w:w="185"/>
                  <w:vMerge/>
                  <w:tcBorders>
                    <w:top w:val="single" w:color="000000" w:sz="4"/>
                    <w:left w:val="none" w:color="000000" w:sz="4"/>
                    <w:bottom w:val="none" w:color="000000" w:sz="4"/>
                    <w:right w:val="single" w:color="000000" w:sz="4"/>
                  </w:tcBorders>
                </w:tcPr>
                <w:p/>
              </w:tc>
              <w:tc>
                <w:tcPr>
                  <w:tcW w:type="dxa" w:w="138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7、自助运营：提供自助运营管理模块，按照账号管辖区域权限，提供对应区域的运营数据、监控数据，提供自助排障工具；</w:t>
                  </w:r>
                </w:p>
              </w:tc>
              <w:tc>
                <w:tcPr>
                  <w:tcW w:type="dxa" w:w="164"/>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324"/>
                  <w:vMerge/>
                  <w:tcBorders>
                    <w:top w:val="none" w:color="000000" w:sz="4"/>
                    <w:left w:val="none" w:color="000000" w:sz="4"/>
                    <w:bottom w:val="none" w:color="000000" w:sz="4"/>
                    <w:right w:val="single" w:color="000000" w:sz="4"/>
                  </w:tcBorders>
                </w:tcPr>
                <w:p/>
              </w:tc>
            </w:tr>
            <w:tr>
              <w:tc>
                <w:tcPr>
                  <w:tcW w:type="dxa" w:w="194"/>
                  <w:vMerge/>
                  <w:tcBorders>
                    <w:top w:val="single" w:color="000000" w:sz="4"/>
                    <w:left w:val="single" w:color="000000" w:sz="4"/>
                    <w:bottom w:val="none" w:color="000000" w:sz="4"/>
                    <w:right w:val="single" w:color="000000" w:sz="4"/>
                  </w:tcBorders>
                </w:tcPr>
                <w:p/>
              </w:tc>
              <w:tc>
                <w:tcPr>
                  <w:tcW w:type="dxa" w:w="185"/>
                  <w:vMerge/>
                  <w:tcBorders>
                    <w:top w:val="single" w:color="000000" w:sz="4"/>
                    <w:left w:val="none" w:color="000000" w:sz="4"/>
                    <w:bottom w:val="none" w:color="000000" w:sz="4"/>
                    <w:right w:val="single" w:color="000000" w:sz="4"/>
                  </w:tcBorders>
                </w:tcPr>
                <w:p/>
              </w:tc>
              <w:tc>
                <w:tcPr>
                  <w:tcW w:type="dxa" w:w="138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8、能力开放服务：为有视频监控接入、存储、AI分析等能力需求、已建设视频监控平台的客户，提供平台对接输出平台能力，如获取业务树、调阅指定设备的实时视频和存储视频、图片等能力；</w:t>
                  </w:r>
                </w:p>
              </w:tc>
              <w:tc>
                <w:tcPr>
                  <w:tcW w:type="dxa" w:w="164"/>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324"/>
                  <w:vMerge/>
                  <w:tcBorders>
                    <w:top w:val="none" w:color="000000" w:sz="4"/>
                    <w:left w:val="none" w:color="000000" w:sz="4"/>
                    <w:bottom w:val="none" w:color="000000" w:sz="4"/>
                    <w:right w:val="single" w:color="000000" w:sz="4"/>
                  </w:tcBorders>
                </w:tcPr>
                <w:p/>
              </w:tc>
            </w:tr>
            <w:tr>
              <w:tc>
                <w:tcPr>
                  <w:tcW w:type="dxa" w:w="194"/>
                  <w:vMerge/>
                  <w:tcBorders>
                    <w:top w:val="single" w:color="000000" w:sz="4"/>
                    <w:left w:val="single" w:color="000000" w:sz="4"/>
                    <w:bottom w:val="none" w:color="000000" w:sz="4"/>
                    <w:right w:val="single" w:color="000000" w:sz="4"/>
                  </w:tcBorders>
                </w:tcPr>
                <w:p/>
              </w:tc>
              <w:tc>
                <w:tcPr>
                  <w:tcW w:type="dxa" w:w="185"/>
                  <w:vMerge/>
                  <w:tcBorders>
                    <w:top w:val="single" w:color="000000" w:sz="4"/>
                    <w:left w:val="none" w:color="000000" w:sz="4"/>
                    <w:bottom w:val="none" w:color="000000" w:sz="4"/>
                    <w:right w:val="single" w:color="000000" w:sz="4"/>
                  </w:tcBorders>
                </w:tcPr>
                <w:p/>
              </w:tc>
              <w:tc>
                <w:tcPr>
                  <w:tcW w:type="dxa" w:w="138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9、平台标准：对于使用符合GB/T 28181-2016、GB 35114-2017、GA/T 1400-2017协议的国标终端和平台，相关设备和平台支持通过标准协议接入本平台，也支持国标终端的深度定制，接入后可实现国标协议终端和平台的视频、图片数据汇聚以及前向数据采集与汇聚能力，平台在设备数据采集上支持对设备型号、固件、编码、能力集等信息的动态采集，支持向其他服务提供设备能力及信息的查询能力；</w:t>
                  </w:r>
                </w:p>
              </w:tc>
              <w:tc>
                <w:tcPr>
                  <w:tcW w:type="dxa" w:w="164"/>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324"/>
                  <w:vMerge/>
                  <w:tcBorders>
                    <w:top w:val="none" w:color="000000" w:sz="4"/>
                    <w:left w:val="none" w:color="000000" w:sz="4"/>
                    <w:bottom w:val="none" w:color="000000" w:sz="4"/>
                    <w:right w:val="single" w:color="000000" w:sz="4"/>
                  </w:tcBorders>
                </w:tcPr>
                <w:p/>
              </w:tc>
            </w:tr>
            <w:tr>
              <w:tc>
                <w:tcPr>
                  <w:tcW w:type="dxa" w:w="194"/>
                  <w:vMerge/>
                  <w:tcBorders>
                    <w:top w:val="single" w:color="000000" w:sz="4"/>
                    <w:left w:val="single" w:color="000000" w:sz="4"/>
                    <w:bottom w:val="none" w:color="000000" w:sz="4"/>
                    <w:right w:val="single" w:color="000000" w:sz="4"/>
                  </w:tcBorders>
                </w:tcPr>
                <w:p/>
              </w:tc>
              <w:tc>
                <w:tcPr>
                  <w:tcW w:type="dxa" w:w="185"/>
                  <w:vMerge/>
                  <w:tcBorders>
                    <w:top w:val="single" w:color="000000" w:sz="4"/>
                    <w:left w:val="none" w:color="000000" w:sz="4"/>
                    <w:bottom w:val="none" w:color="000000" w:sz="4"/>
                    <w:right w:val="single" w:color="000000" w:sz="4"/>
                  </w:tcBorders>
                </w:tcPr>
                <w:p/>
              </w:tc>
              <w:tc>
                <w:tcPr>
                  <w:tcW w:type="dxa" w:w="138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10、安全能力：提供严格的安全防护能力，支持设备接入和认证安全、客户端安全、信息安全、数据安全和数据加密、传输和网络安全、终端安全等防护能力，实现从终端到平台到客户端的端到端安全防护；</w:t>
                  </w:r>
                </w:p>
              </w:tc>
              <w:tc>
                <w:tcPr>
                  <w:tcW w:type="dxa" w:w="164"/>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324"/>
                  <w:vMerge/>
                  <w:tcBorders>
                    <w:top w:val="none" w:color="000000" w:sz="4"/>
                    <w:left w:val="none" w:color="000000" w:sz="4"/>
                    <w:bottom w:val="none" w:color="000000" w:sz="4"/>
                    <w:right w:val="single" w:color="000000" w:sz="4"/>
                  </w:tcBorders>
                </w:tcPr>
                <w:p/>
              </w:tc>
            </w:tr>
            <w:tr>
              <w:tc>
                <w:tcPr>
                  <w:tcW w:type="dxa" w:w="194"/>
                  <w:vMerge/>
                  <w:tcBorders>
                    <w:top w:val="single" w:color="000000" w:sz="4"/>
                    <w:left w:val="single" w:color="000000" w:sz="4"/>
                    <w:bottom w:val="none" w:color="000000" w:sz="4"/>
                    <w:right w:val="single" w:color="000000" w:sz="4"/>
                  </w:tcBorders>
                </w:tcPr>
                <w:p/>
              </w:tc>
              <w:tc>
                <w:tcPr>
                  <w:tcW w:type="dxa" w:w="185"/>
                  <w:vMerge/>
                  <w:tcBorders>
                    <w:top w:val="single" w:color="000000" w:sz="4"/>
                    <w:left w:val="none" w:color="000000" w:sz="4"/>
                    <w:bottom w:val="none" w:color="000000" w:sz="4"/>
                    <w:right w:val="single" w:color="000000" w:sz="4"/>
                  </w:tcBorders>
                </w:tcPr>
                <w:p/>
              </w:tc>
              <w:tc>
                <w:tcPr>
                  <w:tcW w:type="dxa" w:w="138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将2025年新增305个点位同步接入视频接入陕西省、西安市市场监督管局局“互联网+名厨亮灶”平台。</w:t>
                  </w:r>
                </w:p>
              </w:tc>
              <w:tc>
                <w:tcPr>
                  <w:tcW w:type="dxa" w:w="164"/>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324"/>
                  <w:vMerge/>
                  <w:tcBorders>
                    <w:top w:val="none" w:color="000000" w:sz="4"/>
                    <w:left w:val="none" w:color="000000" w:sz="4"/>
                    <w:bottom w:val="none" w:color="000000" w:sz="4"/>
                    <w:right w:val="single" w:color="000000" w:sz="4"/>
                  </w:tcBorders>
                </w:tcPr>
                <w:p/>
              </w:tc>
            </w:tr>
            <w:tr>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接入</w:t>
                  </w:r>
                </w:p>
                <w:p>
                  <w:pPr>
                    <w:pStyle w:val="null3"/>
                    <w:jc w:val="center"/>
                  </w:pPr>
                  <w:r>
                    <w:rPr>
                      <w:rFonts w:ascii="仿宋_GB2312" w:hAnsi="仿宋_GB2312" w:cs="仿宋_GB2312" w:eastAsia="仿宋_GB2312"/>
                      <w:sz w:val="21"/>
                      <w:color w:val="000000"/>
                    </w:rPr>
                    <w:t>服务</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天翼云眼30天云存储服务+明厨亮灶AI功能</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2025年维保服务</w:t>
                  </w:r>
                </w:p>
              </w:tc>
              <w:tc>
                <w:tcPr>
                  <w:tcW w:type="dxa" w:w="18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维保内容明细</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宽带</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点位　</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707</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none" w:color="000000" w:sz="4"/>
                    <w:right w:val="single" w:color="000000" w:sz="4"/>
                  </w:tcBorders>
                </w:tcP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无线网卡</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路</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none" w:color="000000" w:sz="4"/>
                    <w:right w:val="single" w:color="000000" w:sz="4"/>
                  </w:tcBorders>
                </w:tcP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名厨亮灶平台</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路</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none" w:color="000000" w:sz="4"/>
                    <w:right w:val="single" w:color="000000" w:sz="4"/>
                  </w:tcBorders>
                </w:tcP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天翼云眼30天云存储服务</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2025年增补项目</w:t>
                  </w:r>
                </w:p>
              </w:tc>
              <w:tc>
                <w:tcPr>
                  <w:tcW w:type="dxa" w:w="18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w:t>
                  </w:r>
                </w:p>
                <w:p>
                  <w:pPr>
                    <w:pStyle w:val="null3"/>
                    <w:jc w:val="left"/>
                  </w:pPr>
                  <w:r>
                    <w:rPr>
                      <w:rFonts w:ascii="仿宋_GB2312" w:hAnsi="仿宋_GB2312" w:cs="仿宋_GB2312" w:eastAsia="仿宋_GB2312"/>
                      <w:sz w:val="21"/>
                      <w:color w:val="000000"/>
                    </w:rPr>
                    <w:t>明细</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摄像头及辅材</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点位　</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none" w:color="000000" w:sz="4"/>
                    <w:right w:val="single" w:color="000000" w:sz="4"/>
                  </w:tcBorders>
                </w:tcP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安装调试服务</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路</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4"/>
                  <w:vMerge/>
                  <w:tcBorders>
                    <w:top w:val="none" w:color="000000" w:sz="4"/>
                    <w:left w:val="single" w:color="000000" w:sz="4"/>
                    <w:bottom w:val="single" w:color="000000" w:sz="4"/>
                    <w:right w:val="single" w:color="000000" w:sz="4"/>
                  </w:tcBorders>
                </w:tcPr>
                <w:p/>
              </w:tc>
              <w:tc>
                <w:tcPr>
                  <w:tcW w:type="dxa" w:w="185"/>
                  <w:vMerge/>
                  <w:tcBorders>
                    <w:top w:val="none" w:color="000000" w:sz="4"/>
                    <w:left w:val="none" w:color="000000" w:sz="4"/>
                    <w:bottom w:val="none" w:color="000000" w:sz="4"/>
                    <w:right w:val="single" w:color="000000" w:sz="4"/>
                  </w:tcBorders>
                </w:tcP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50M</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点位</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宽带光纤</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速率</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1680"/>
                    <w:jc w:val="left"/>
                  </w:pP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1"/>
                <w:b/>
                <w:color w:val="000000"/>
              </w:rPr>
              <w:t>三、</w:t>
            </w:r>
            <w:r>
              <w:rPr>
                <w:rFonts w:ascii="仿宋_GB2312" w:hAnsi="仿宋_GB2312" w:cs="仿宋_GB2312" w:eastAsia="仿宋_GB2312"/>
                <w:sz w:val="21"/>
                <w:b/>
              </w:rPr>
              <w:t>视频接入安装调试满足以下基本要求：</w:t>
            </w:r>
          </w:p>
          <w:p>
            <w:pPr>
              <w:pStyle w:val="null3"/>
              <w:ind w:firstLine="480"/>
              <w:jc w:val="left"/>
            </w:pPr>
            <w:r>
              <w:rPr>
                <w:rFonts w:ascii="仿宋_GB2312" w:hAnsi="仿宋_GB2312" w:cs="仿宋_GB2312" w:eastAsia="仿宋_GB2312"/>
                <w:sz w:val="21"/>
              </w:rPr>
              <w:t>为进一步保障全区校园食品安全，按照区委“校园食品安全和膳食经费管理”专项巡察整改及上级相关部门对大宗食材进货查验“有条件的学校应保留影像资料”的要求，本着合理利用、整合资源的原则，拟在原“明厨亮灶”监控系统平台基础上为每所学校新增1路食材验收监控视频点位，同时，确保“互联网+明厨亮灶”系统继续平稳运行。</w:t>
            </w:r>
          </w:p>
          <w:p>
            <w:pPr>
              <w:pStyle w:val="null3"/>
              <w:jc w:val="left"/>
            </w:pPr>
            <w:r>
              <w:rPr>
                <w:rFonts w:ascii="仿宋_GB2312" w:hAnsi="仿宋_GB2312" w:cs="仿宋_GB2312" w:eastAsia="仿宋_GB2312"/>
                <w:sz w:val="21"/>
              </w:rPr>
              <w:t>（1）画面水平标准：画面水平倾斜与实际水平夹角不能大于15 度。</w:t>
            </w:r>
          </w:p>
          <w:p>
            <w:pPr>
              <w:pStyle w:val="null3"/>
              <w:jc w:val="left"/>
            </w:pPr>
            <w:r>
              <w:rPr>
                <w:rFonts w:ascii="仿宋_GB2312" w:hAnsi="仿宋_GB2312" w:cs="仿宋_GB2312" w:eastAsia="仿宋_GB2312"/>
                <w:sz w:val="21"/>
              </w:rPr>
              <w:t>（2）画面内容要求：画面不能有明显的遮挡，其他内容与画面拍摄区域面积比不可大于1：4，安装照射不能有强光或其他反射干扰。</w:t>
            </w:r>
          </w:p>
          <w:p>
            <w:pPr>
              <w:pStyle w:val="null3"/>
              <w:jc w:val="left"/>
            </w:pPr>
            <w:r>
              <w:rPr>
                <w:rFonts w:ascii="仿宋_GB2312" w:hAnsi="仿宋_GB2312" w:cs="仿宋_GB2312" w:eastAsia="仿宋_GB2312"/>
                <w:sz w:val="21"/>
              </w:rPr>
              <w:t>（3）拍摄区域在白天（工作时间）光照度不能低于100LUX。</w:t>
            </w:r>
          </w:p>
          <w:p>
            <w:pPr>
              <w:pStyle w:val="null3"/>
              <w:jc w:val="both"/>
            </w:pPr>
            <w:r>
              <w:rPr>
                <w:rFonts w:ascii="仿宋_GB2312" w:hAnsi="仿宋_GB2312" w:cs="仿宋_GB2312" w:eastAsia="仿宋_GB2312"/>
                <w:sz w:val="21"/>
                <w:b/>
                <w:color w:val="000000"/>
              </w:rPr>
              <w:t>四、服务要求</w:t>
            </w:r>
          </w:p>
          <w:p>
            <w:pPr>
              <w:pStyle w:val="null3"/>
              <w:jc w:val="both"/>
            </w:pPr>
            <w:r>
              <w:rPr>
                <w:rFonts w:ascii="仿宋_GB2312" w:hAnsi="仿宋_GB2312" w:cs="仿宋_GB2312" w:eastAsia="仿宋_GB2312"/>
                <w:sz w:val="21"/>
                <w:color w:val="000000"/>
              </w:rPr>
              <w:t>1、供应商需提供统一客服电话，报故障2小时内响应，12小时内故障检修；</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rPr>
              <w:t>平台升级及摄像头质保根据服务期限执行，其他设备按厂商标准执行。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满足采购人员要求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满足采购人员要求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所有招标内容完成并通过验收后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招投标法》的相关条款和本合同约定，成交供应商未全面履行合同义务或者发生违约，采购人会同采购代理机构有权终止合同，依法向成交供应商进行经济索赔，并报请采购监督管理机关进行相应的行政处罚。采购人违约的，应当赔偿给成交供应商造成的经济损失。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 要求填写《响应函》完成承诺并提供 以下资料进行电子签章。 (1)提供合格有效的法人或者其他组织的营业执照等证明文件，自然人的身份证明； 供应商是法人或其他组织的应提供营业执照等证明文件，供应商是自然人的应提供有效的自然人身份证明。 (2)提供2023 或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 (3)提供递交响应文件截止之日前一年内任意一个月的依法缴纳税收的完税证明，完税证明应有税务机关或代收机关的公章或业务专用章。依法免税或无须缴纳税收的供应商，应提供相应证明文件； (4)提供磋商截止日前一年内已缴存的至少一个月的社会保障资金缴存单据或社保机构开具的社会保险参保缴 费情况证明，依法不需要缴纳社会保 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供应商需在项目电子化交易系统中按要求上传相应证明文件并进行电子签章。提供2023 或2024年度经审计的已赋码且完整的财务报告；（成立时间至提交投标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法定代表人授权书（（附法定代表人、被授权人身份证复印件及被授权人磋商截止日前一年内已缴存的至少一个月的社会保障资金凭证）；法定代表人直接参加磋商，须提供法定代表人身份证明。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供应商未被“信用中国”网站列入失信被执行人和重大税收违法失信主体，未被中国政府采购网列入政府采购严重违法失信行为记录名单(处罚期限届满的除外)（以现场信用记录查询结果为准）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中小企业声明函 商务应答表 报价表 供应商承诺书.docx 资格证明文件.docx 响应文件封面 残疾人福利性单位声明函 服务方案 标的清单 商务条款偏离表及投入人员汇总.docx 其他资料.docx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中小企业声明函 商务应答表 报价表 供应商承诺书.docx 资格证明文件.docx 响应文件封面 残疾人福利性单位声明函 服务方案 标的清单 商务条款偏离表及投入人员汇总.docx 其他资料.docx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中小企业声明函 商务应答表 报价表 供应商承诺书.docx 资格证明文件.docx 响应文件封面 残疾人福利性单位声明函 服务方案 标的清单 商务条款偏离表及投入人员汇总.docx 其他资料.docx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中小企业声明函 商务应答表 报价表 供应商承诺书.docx 资格证明文件.docx 响应文件封面 残疾人福利性单位声明函 服务方案 标的清单 商务条款偏离表及投入人员汇总.docx 其他资料.docx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 商务条款偏离表及投入人员汇总.docx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服务期限（合同履行期限）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中小企业声明函 商务应答表 报价表 供应商承诺书.docx 资格证明文件.docx 响应文件封面 残疾人福利性单位声明函 服务方案 标的清单 商务条款偏离表及投入人员汇总.docx 其他资料.docx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技术参数及方案</w:t>
            </w:r>
          </w:p>
        </w:tc>
        <w:tc>
          <w:tcPr>
            <w:tcW w:type="dxa" w:w="2492"/>
          </w:tcPr>
          <w:p>
            <w:pPr>
              <w:pStyle w:val="null3"/>
            </w:pPr>
            <w:r>
              <w:rPr>
                <w:rFonts w:ascii="仿宋_GB2312" w:hAnsi="仿宋_GB2312" w:cs="仿宋_GB2312" w:eastAsia="仿宋_GB2312"/>
              </w:rPr>
              <w:t>对磋商文件技术参数部分的所有指标，供应商应逐条进行响应。 完全符合、响应磋商文件要求，没有负偏离的得14分；负偏离每有1项扣1分，扣完为止。（所有参数、基本要求、服务要求共14项）</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商务条款偏离表及投入人员汇总.docx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产品类型</w:t>
            </w:r>
          </w:p>
        </w:tc>
        <w:tc>
          <w:tcPr>
            <w:tcW w:type="dxa" w:w="2492"/>
          </w:tcPr>
          <w:p>
            <w:pPr>
              <w:pStyle w:val="null3"/>
            </w:pPr>
            <w:r>
              <w:rPr>
                <w:rFonts w:ascii="仿宋_GB2312" w:hAnsi="仿宋_GB2312" w:cs="仿宋_GB2312" w:eastAsia="仿宋_GB2312"/>
              </w:rPr>
              <w:t>（1）产品选型合理，规格、型号、产地，设备配套设施完整，符合使用要求，计5分； （2）产品选型较合理，规格、型号、产地，设备配套设施较完整，较符合使用要求，计3分； （3）产品选型不太合理，规格、型号、产地，设备配套设施不完整完整，不太符合使用要求，计1分。未提供不得分。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商务条款偏离表及投入人员汇总.docx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管理平台方案</w:t>
            </w:r>
          </w:p>
        </w:tc>
        <w:tc>
          <w:tcPr>
            <w:tcW w:type="dxa" w:w="2492"/>
          </w:tcPr>
          <w:p>
            <w:pPr>
              <w:pStyle w:val="null3"/>
            </w:pPr>
            <w:r>
              <w:rPr>
                <w:rFonts w:ascii="仿宋_GB2312" w:hAnsi="仿宋_GB2312" w:cs="仿宋_GB2312" w:eastAsia="仿宋_GB2312"/>
              </w:rPr>
              <w:t>（1）管理平台功能内容描述详细，技术方案合理，各参数功能满足磋商文件要求，计15分； （2）内容总体描述较详细，技术方案较合理，各参数功能较满足磋商文件要求，计10分； （3）内容总体有基本描述，技术方案基本合理，各参数功能基本满足磋商文件要求，计5分 （4）内容总体描述不详细，技术方案不合理，各参数功能不满足磋商文件要求，计1分。未提供不得分。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商务条款偏离表及投入人员汇总.docx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产品生产技术</w:t>
            </w:r>
          </w:p>
        </w:tc>
        <w:tc>
          <w:tcPr>
            <w:tcW w:type="dxa" w:w="2492"/>
          </w:tcPr>
          <w:p>
            <w:pPr>
              <w:pStyle w:val="null3"/>
            </w:pPr>
            <w:r>
              <w:rPr>
                <w:rFonts w:ascii="仿宋_GB2312" w:hAnsi="仿宋_GB2312" w:cs="仿宋_GB2312" w:eastAsia="仿宋_GB2312"/>
              </w:rPr>
              <w:t>所投产品生产技术先进，为主流设备，方便操作，安全可靠，性能、性价比高，整体指标符合要求，提供技术资料（不限于检测报告、功能截图、产品说明书、产品彩页等并加盖公章）。 （1）技术资料齐全，计12分； （2）技术资料较齐全，计8分； （3）技术资料基本齐全，计4分； （4）技术资料不齐全，计1分。未提供不计分。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商务条款偏离表及投入人员汇总.docx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项目组织实施计划完整可行，人员保障措施可靠，能够保证按期供货，具有明确的项目组织机构及实施方案，从以下方面进行比较后赋分。（15分） （1）备货、供货进度及保证措施，根据响应程度计分，未提供不得分。 1）内容详细、完整，完全符合本项目需求计5分。 2） 内容较详细、较完整，较符合本项目需求计3分。 3）内容不详细、不完整，不符合本项目需求计1分。未提供不得分。 （2）拟投入本项目的人员安排及责任制度，根据响应程度计分，未提供不得分。 1）内容详细、完整，完全符合本项目需求计5分。 2） 内容较详细、较完整，较符合本项目需求计3分。 3）内容不详细、不完整，不符合本项目需求计1分。未提供不得分。 （3）产品安装、检测、调试等方面保证措施，根据响应程度计分，未提供不得分。 1）内容详细、完整，完全符合本项目需求计5分。 2） 内容较详细、较完整，较符合本项目需求计3分。 3）内容不详细、不完整，不符合本项目需求计1分。未提供不得分。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商务条款偏离表及投入人员汇总.docx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产品质量</w:t>
            </w:r>
          </w:p>
        </w:tc>
        <w:tc>
          <w:tcPr>
            <w:tcW w:type="dxa" w:w="2492"/>
          </w:tcPr>
          <w:p>
            <w:pPr>
              <w:pStyle w:val="null3"/>
            </w:pPr>
            <w:r>
              <w:rPr>
                <w:rFonts w:ascii="仿宋_GB2312" w:hAnsi="仿宋_GB2312" w:cs="仿宋_GB2312" w:eastAsia="仿宋_GB2312"/>
              </w:rPr>
              <w:t>产品货源渠道正常，并能够提供产品质量的相关证明资料。确保供应的产品为100%全新正品，无假货、水货、翻新货且无产权纠纷，须提供所投产品的合法来源渠道证明文件（包括但不限于销售协议、代理协议、原厂授权等）；（1）完全响应计7分； （2）响应不全面，或不能完全证明计3分； 未响应不得分。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商务条款偏离表及投入人员汇总.docx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提供售后服务方案（包含售后服务机构承诺、售后服务保障措施、人员配置安排计划、故障处理响应时间安排计划、质量保证期限及质量保证的范围承诺、应急处理等）。 （1）方案完整详细、可操作性强、合理、可行，符合且能有效提升实际需求，计6分； （2）方案基本完整，可操作性一般，与实际需求有偏差，计3分； （3）方案内容不完整，响应有缺项，与实际需求不符，计1分；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商务条款偏离表及投入人员汇总.docx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售后培训方案</w:t>
            </w:r>
          </w:p>
        </w:tc>
        <w:tc>
          <w:tcPr>
            <w:tcW w:type="dxa" w:w="2492"/>
          </w:tcPr>
          <w:p>
            <w:pPr>
              <w:pStyle w:val="null3"/>
            </w:pPr>
            <w:r>
              <w:rPr>
                <w:rFonts w:ascii="仿宋_GB2312" w:hAnsi="仿宋_GB2312" w:cs="仿宋_GB2312" w:eastAsia="仿宋_GB2312"/>
              </w:rPr>
              <w:t>根据供应商提供的培训方案进行评分，培训采购人指定的技术人员和管理人员，制定培训课程计划表，列出每种培训的地点和时间、培训的内容、方式、次数等，培训内容应包括所提供产品的原理和技术性能、操作维护方法、安装调试、排除故障等各个方面，培训的具体日期及人数由使用单位确定。 （1）方案完整详细、可操作性强、合理、可行，符合且能有效提升实际需求，计6分； （2）方案基本完整，可操作性一般，与实际需求有偏差，计3分； （3）方案内容不完整，响应有缺项，与实际需求不符，计1分； 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商务条款偏离表及投入人员汇总.docx</w:t>
            </w:r>
          </w:p>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提供2022年7月1日至今类似项目业绩，每提供1份计2分，最多10分。（以合同签订时间为准，复印件加盖公章）。是否属于类似业绩由评标委员会决定。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商务条款偏离表及投入人员汇总.docx</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详见附件：商务条款偏离表及投入人员汇总.docx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详见附件：商务及合同主要条款.docx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