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版本号：SXZCZB2025-ZCCS-062220250716001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西安市“大教训”警示教育基地物业服务项目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SXZCZB2025-ZCCS-0622</w:t>
      </w:r>
      <w:r>
        <w:br/>
      </w:r>
      <w:r>
        <w:br/>
      </w:r>
      <w:r>
        <w:br/>
      </w:r>
    </w:p>
    <w:p>
      <w:pPr>
        <w:pStyle w:val="null3"/>
        <w:jc w:val="center"/>
        <w:outlineLvl w:val="2"/>
      </w:pPr>
      <w:r>
        <w:rPr>
          <w:rFonts w:ascii="仿宋_GB2312" w:hAnsi="仿宋_GB2312" w:cs="仿宋_GB2312" w:eastAsia="仿宋_GB2312"/>
          <w:sz w:val="28"/>
          <w:b/>
        </w:rPr>
        <w:t>中共西安市长安区委组织部</w:t>
      </w:r>
    </w:p>
    <w:p>
      <w:pPr>
        <w:pStyle w:val="null3"/>
        <w:jc w:val="center"/>
        <w:outlineLvl w:val="2"/>
      </w:pPr>
      <w:r>
        <w:rPr>
          <w:rFonts w:ascii="仿宋_GB2312" w:hAnsi="仿宋_GB2312" w:cs="仿宋_GB2312" w:eastAsia="仿宋_GB2312"/>
          <w:sz w:val="28"/>
          <w:b/>
        </w:rPr>
        <w:t>陕西至诚项目管理集团有限公司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陕西至诚项目管理集团有限公司</w:t>
      </w:r>
      <w:r>
        <w:rPr>
          <w:rFonts w:ascii="仿宋_GB2312" w:hAnsi="仿宋_GB2312" w:cs="仿宋_GB2312" w:eastAsia="仿宋_GB2312"/>
        </w:rPr>
        <w:t>（以下简称“代理机构”）受</w:t>
      </w:r>
      <w:r>
        <w:rPr>
          <w:rFonts w:ascii="仿宋_GB2312" w:hAnsi="仿宋_GB2312" w:cs="仿宋_GB2312" w:eastAsia="仿宋_GB2312"/>
        </w:rPr>
        <w:t>中共西安市长安区委组织部</w:t>
      </w:r>
      <w:r>
        <w:rPr>
          <w:rFonts w:ascii="仿宋_GB2312" w:hAnsi="仿宋_GB2312" w:cs="仿宋_GB2312" w:eastAsia="仿宋_GB2312"/>
        </w:rPr>
        <w:t>委托，拟对</w:t>
      </w:r>
      <w:r>
        <w:rPr>
          <w:rFonts w:ascii="仿宋_GB2312" w:hAnsi="仿宋_GB2312" w:cs="仿宋_GB2312" w:eastAsia="仿宋_GB2312"/>
        </w:rPr>
        <w:t>西安市“大教训”警示教育基地物业服务项目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SXZCZB2025-ZCCS-0622</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西安市“大教训”警示教育基地物业服务项目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西安市“大教训”警示教育基地物业服务项目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采购包1（西安市“大教训”警示教育基地物业服务项目）：属于专门面向中小企业采购。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 营业执照：具有独立承担民事责任能力的法人、其他组织或自然人，并出具合法有效的统一社会信用代码的营业执照或事业单位法人证书等国家规定的相关证明，自然人参与的提供其身份证明；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3、财务审计报告：提供2024年度的财务审计报告（成立时间至提交响应文件截止时间不足一年的可提供成立后任意时段的资产负债表），或开标时间前六个月内银行出具的资信证明；</w:t>
      </w:r>
    </w:p>
    <w:p>
      <w:pPr>
        <w:pStyle w:val="null3"/>
      </w:pPr>
      <w:r>
        <w:rPr>
          <w:rFonts w:ascii="仿宋_GB2312" w:hAnsi="仿宋_GB2312" w:cs="仿宋_GB2312" w:eastAsia="仿宋_GB2312"/>
        </w:rPr>
        <w:t>4、税收缴纳证明：提供2024年6月至今已缴纳任意一个月的纳税证明或完税证明（任意税种），依法免税的单位应提供相关证明材料；</w:t>
      </w:r>
    </w:p>
    <w:p>
      <w:pPr>
        <w:pStyle w:val="null3"/>
      </w:pPr>
      <w:r>
        <w:rPr>
          <w:rFonts w:ascii="仿宋_GB2312" w:hAnsi="仿宋_GB2312" w:cs="仿宋_GB2312" w:eastAsia="仿宋_GB2312"/>
        </w:rPr>
        <w:t>5、社会保障资金缴纳证明：提供2024年6月至今已缴纳任意一个月的社会保障资金缴存单据或社保机构开具的社会保险参保缴费情况证明，依法不需要缴纳社会保障资金的单位应提供相关证明材料；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6、相关主体信用记录：供应商通过“信用中国”网站(www.creditchina.gov.cn)、中国政府采购网(www.ccgp.gov.cn)等查询相关主体信用记录；</w:t>
      </w:r>
    </w:p>
    <w:p>
      <w:pPr>
        <w:pStyle w:val="null3"/>
      </w:pPr>
      <w:r>
        <w:rPr>
          <w:rFonts w:ascii="仿宋_GB2312" w:hAnsi="仿宋_GB2312" w:cs="仿宋_GB2312" w:eastAsia="仿宋_GB2312"/>
        </w:rPr>
        <w:t>7、书面声明：参加政府采购活动前3年内，在经营活动中没有重大违法记录的书面声明；</w:t>
      </w:r>
    </w:p>
    <w:p>
      <w:pPr>
        <w:pStyle w:val="null3"/>
      </w:pPr>
      <w:r>
        <w:rPr>
          <w:rFonts w:ascii="仿宋_GB2312" w:hAnsi="仿宋_GB2312" w:cs="仿宋_GB2312" w:eastAsia="仿宋_GB2312"/>
        </w:rPr>
        <w:t>8、履约承诺：提供具有履行本合同所必需的设备和专业技术能力的说明及承诺书；</w:t>
      </w:r>
    </w:p>
    <w:p>
      <w:pPr>
        <w:pStyle w:val="null3"/>
      </w:pPr>
      <w:r>
        <w:rPr>
          <w:rFonts w:ascii="仿宋_GB2312" w:hAnsi="仿宋_GB2312" w:cs="仿宋_GB2312" w:eastAsia="仿宋_GB2312"/>
        </w:rPr>
        <w:t>9、中小企业声明函：本采购包专门面向中小企业采购（提供中小企业声明函）；</w:t>
      </w:r>
    </w:p>
    <w:p>
      <w:pPr>
        <w:pStyle w:val="null3"/>
      </w:pPr>
      <w:r>
        <w:rPr>
          <w:rFonts w:ascii="仿宋_GB2312" w:hAnsi="仿宋_GB2312" w:cs="仿宋_GB2312" w:eastAsia="仿宋_GB2312"/>
        </w:rPr>
        <w:t>10、非联合体承诺：本项目不接受联合体磋商（提供承诺书）。</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中共西安市长安区委组织部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长安区新行政中心</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中共西安市长安区委组织部经办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85280045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陕西至诚项目管理集团有限公司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陕西省西安市经济技术开发区未央路171-1号银池道拉斯财富中心21楼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胡晓均、倪沛、王欣玫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029-88219779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西安市长安区政府采购管理股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左崇伟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85645891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采购包1：516,400.00元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号）和国家和发展改革委员会办公厅颁发的《关于招标代理服务收费有关问题的通知》（发改办价格[2003]857号）的有关规定执行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中共西安市长安区委组织部</w:t>
      </w:r>
      <w:r>
        <w:rPr>
          <w:rFonts w:ascii="仿宋_GB2312" w:hAnsi="仿宋_GB2312" w:cs="仿宋_GB2312" w:eastAsia="仿宋_GB2312"/>
        </w:rPr>
        <w:t>和</w:t>
      </w:r>
      <w:r>
        <w:rPr>
          <w:rFonts w:ascii="仿宋_GB2312" w:hAnsi="仿宋_GB2312" w:cs="仿宋_GB2312" w:eastAsia="仿宋_GB2312"/>
        </w:rPr>
        <w:t>陕西至诚项目管理集团有限公司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中共西安市长安区委组织部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陕西至诚项目管理集团有限公司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中共西安市长安区委组织部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陕西至诚项目管理集团有限公司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陕西至诚项目管理集团有限公司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联系人：胡晓均、倪沛、王欣玫</w:t>
      </w:r>
    </w:p>
    <w:p>
      <w:pPr>
        <w:pStyle w:val="null3"/>
      </w:pPr>
      <w:r>
        <w:rPr>
          <w:rFonts w:ascii="仿宋_GB2312" w:hAnsi="仿宋_GB2312" w:cs="仿宋_GB2312" w:eastAsia="仿宋_GB2312"/>
        </w:rPr>
        <w:t>联系电话：029-88219779</w:t>
      </w:r>
    </w:p>
    <w:p>
      <w:pPr>
        <w:pStyle w:val="null3"/>
      </w:pPr>
      <w:r>
        <w:rPr>
          <w:rFonts w:ascii="仿宋_GB2312" w:hAnsi="仿宋_GB2312" w:cs="仿宋_GB2312" w:eastAsia="仿宋_GB2312"/>
        </w:rPr>
        <w:t>地址：陕西省西安市经济技术开发区未央路171-1号银池道拉斯财富中心21楼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西安市“大教训”警示教育基地物业服务项目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516,400.00</w:t>
      </w:r>
    </w:p>
    <w:p>
      <w:pPr>
        <w:pStyle w:val="null3"/>
      </w:pPr>
      <w:r>
        <w:rPr>
          <w:rFonts w:ascii="仿宋_GB2312" w:hAnsi="仿宋_GB2312" w:cs="仿宋_GB2312" w:eastAsia="仿宋_GB2312"/>
        </w:rPr>
        <w:t>采购包最高限价（元）: 516,400.00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西安市“大教训”警示教育基地物业服务项目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516,400.00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标的名称：西安市“大教训”警示教育基地物业服务项目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一、项目概况</w:t>
            </w:r>
          </w:p>
          <w:p>
            <w:pPr>
              <w:pStyle w:val="null3"/>
            </w:pPr>
            <w:r>
              <w:rPr>
                <w:rFonts w:ascii="仿宋_GB2312" w:hAnsi="仿宋_GB2312" w:cs="仿宋_GB2312" w:eastAsia="仿宋_GB2312"/>
              </w:rPr>
              <w:t>大教训警示教育基地项目位于长安区滦镇街道上王村，实测用地面积 1.42 亩，由“室内展示区+室外展示区+6 个整治项目”组成，其中室内展示区面积约为800平方米。本次物业服务包括：工程设施设备基础维修服务、保洁服务、安保服务及展馆讲解服务等。</w:t>
            </w:r>
          </w:p>
          <w:p>
            <w:pPr>
              <w:pStyle w:val="null3"/>
            </w:pPr>
            <w:r>
              <w:rPr>
                <w:rFonts w:ascii="仿宋_GB2312" w:hAnsi="仿宋_GB2312" w:cs="仿宋_GB2312" w:eastAsia="仿宋_GB2312"/>
              </w:rPr>
              <w:t>二、服务内容</w:t>
            </w:r>
          </w:p>
          <w:p>
            <w:pPr>
              <w:pStyle w:val="null3"/>
            </w:pPr>
            <w:r>
              <w:rPr>
                <w:rFonts w:ascii="仿宋_GB2312" w:hAnsi="仿宋_GB2312" w:cs="仿宋_GB2312" w:eastAsia="仿宋_GB2312"/>
              </w:rPr>
              <w:t>（一）环境保洁要求</w:t>
            </w:r>
          </w:p>
          <w:p>
            <w:pPr>
              <w:pStyle w:val="null3"/>
            </w:pPr>
            <w:r>
              <w:rPr>
                <w:rFonts w:ascii="仿宋_GB2312" w:hAnsi="仿宋_GB2312" w:cs="仿宋_GB2312" w:eastAsia="仿宋_GB2312"/>
              </w:rPr>
              <w:t>1、大厅保洁要求</w:t>
            </w:r>
          </w:p>
          <w:p>
            <w:pPr>
              <w:pStyle w:val="null3"/>
            </w:pPr>
            <w:r>
              <w:rPr>
                <w:rFonts w:ascii="仿宋_GB2312" w:hAnsi="仿宋_GB2312" w:cs="仿宋_GB2312" w:eastAsia="仿宋_GB2312"/>
              </w:rPr>
              <w:t>（1）大门、窗、扶手光亮、无灰尘、无印记；</w:t>
            </w:r>
          </w:p>
          <w:p>
            <w:pPr>
              <w:pStyle w:val="null3"/>
            </w:pPr>
            <w:r>
              <w:rPr>
                <w:rFonts w:ascii="仿宋_GB2312" w:hAnsi="仿宋_GB2312" w:cs="仿宋_GB2312" w:eastAsia="仿宋_GB2312"/>
              </w:rPr>
              <w:t>（2）指示牌光亮无尘；</w:t>
            </w:r>
          </w:p>
          <w:p>
            <w:pPr>
              <w:pStyle w:val="null3"/>
            </w:pPr>
            <w:r>
              <w:rPr>
                <w:rFonts w:ascii="仿宋_GB2312" w:hAnsi="仿宋_GB2312" w:cs="仿宋_GB2312" w:eastAsia="仿宋_GB2312"/>
              </w:rPr>
              <w:t>（3）地面、墙面、柱面、台面等光亮、干净、无水渍、无杂物、无污物；</w:t>
            </w:r>
          </w:p>
          <w:p>
            <w:pPr>
              <w:pStyle w:val="null3"/>
            </w:pPr>
            <w:r>
              <w:rPr>
                <w:rFonts w:ascii="仿宋_GB2312" w:hAnsi="仿宋_GB2312" w:cs="仿宋_GB2312" w:eastAsia="仿宋_GB2312"/>
              </w:rPr>
              <w:t>（4）大厅烟灰桶、垃圾桶干净、光亮无水渍、无污物；</w:t>
            </w:r>
          </w:p>
          <w:p>
            <w:pPr>
              <w:pStyle w:val="null3"/>
            </w:pPr>
            <w:r>
              <w:rPr>
                <w:rFonts w:ascii="仿宋_GB2312" w:hAnsi="仿宋_GB2312" w:cs="仿宋_GB2312" w:eastAsia="仿宋_GB2312"/>
              </w:rPr>
              <w:t>（5）大堂灯具、天花板、出风口等无灰尘。</w:t>
            </w:r>
          </w:p>
          <w:p>
            <w:pPr>
              <w:pStyle w:val="null3"/>
            </w:pPr>
            <w:r>
              <w:rPr>
                <w:rFonts w:ascii="仿宋_GB2312" w:hAnsi="仿宋_GB2312" w:cs="仿宋_GB2312" w:eastAsia="仿宋_GB2312"/>
              </w:rPr>
              <w:t>2、卫生间保洁要求</w:t>
            </w:r>
          </w:p>
          <w:p>
            <w:pPr>
              <w:pStyle w:val="null3"/>
            </w:pPr>
            <w:r>
              <w:rPr>
                <w:rFonts w:ascii="仿宋_GB2312" w:hAnsi="仿宋_GB2312" w:cs="仿宋_GB2312" w:eastAsia="仿宋_GB2312"/>
              </w:rPr>
              <w:t>（1）地面、墙面、面盆、台面、镜面干净，无水迹、无污痕；</w:t>
            </w:r>
          </w:p>
          <w:p>
            <w:pPr>
              <w:pStyle w:val="null3"/>
            </w:pPr>
            <w:r>
              <w:rPr>
                <w:rFonts w:ascii="仿宋_GB2312" w:hAnsi="仿宋_GB2312" w:cs="仿宋_GB2312" w:eastAsia="仿宋_GB2312"/>
              </w:rPr>
              <w:t>（2）便池内外干净，出水孔无黄印、黄斑，无污渍、无水迹、无堵塞、无异味，排水系统完好；</w:t>
            </w:r>
          </w:p>
          <w:p>
            <w:pPr>
              <w:pStyle w:val="null3"/>
            </w:pPr>
            <w:r>
              <w:rPr>
                <w:rFonts w:ascii="仿宋_GB2312" w:hAnsi="仿宋_GB2312" w:cs="仿宋_GB2312" w:eastAsia="仿宋_GB2312"/>
              </w:rPr>
              <w:t>（3）木门、闭门器、隔板、隔门、台面干净，无灰尘、无水渍，垃圾桶卫生状况良好，垃圾容量不超过三分之二；</w:t>
            </w:r>
          </w:p>
          <w:p>
            <w:pPr>
              <w:pStyle w:val="null3"/>
            </w:pPr>
            <w:r>
              <w:rPr>
                <w:rFonts w:ascii="仿宋_GB2312" w:hAnsi="仿宋_GB2312" w:cs="仿宋_GB2312" w:eastAsia="仿宋_GB2312"/>
              </w:rPr>
              <w:t>（4）拖布池干净，无污渍，无堵塞；</w:t>
            </w:r>
          </w:p>
          <w:p>
            <w:pPr>
              <w:pStyle w:val="null3"/>
            </w:pPr>
            <w:r>
              <w:rPr>
                <w:rFonts w:ascii="仿宋_GB2312" w:hAnsi="仿宋_GB2312" w:cs="仿宋_GB2312" w:eastAsia="仿宋_GB2312"/>
              </w:rPr>
              <w:t>（5）卫生间空气通畅，清新，无异味；</w:t>
            </w:r>
          </w:p>
          <w:p>
            <w:pPr>
              <w:pStyle w:val="null3"/>
            </w:pPr>
            <w:r>
              <w:rPr>
                <w:rFonts w:ascii="仿宋_GB2312" w:hAnsi="仿宋_GB2312" w:cs="仿宋_GB2312" w:eastAsia="仿宋_GB2312"/>
              </w:rPr>
              <w:t>（6）卫生间、饮水区等重点区域每小时巡检，补充耗材（纸巾、洗手液），确保无积水、无堵塞。</w:t>
            </w:r>
          </w:p>
          <w:p>
            <w:pPr>
              <w:pStyle w:val="null3"/>
            </w:pPr>
            <w:r>
              <w:rPr>
                <w:rFonts w:ascii="仿宋_GB2312" w:hAnsi="仿宋_GB2312" w:cs="仿宋_GB2312" w:eastAsia="仿宋_GB2312"/>
              </w:rPr>
              <w:t>3、通道保洁要求</w:t>
            </w:r>
          </w:p>
          <w:p>
            <w:pPr>
              <w:pStyle w:val="null3"/>
            </w:pPr>
            <w:r>
              <w:rPr>
                <w:rFonts w:ascii="仿宋_GB2312" w:hAnsi="仿宋_GB2312" w:cs="仿宋_GB2312" w:eastAsia="仿宋_GB2312"/>
              </w:rPr>
              <w:t>（1）通道地面、楼梯扶手干净光亮，无灰尘、无纸屑烟头；</w:t>
            </w:r>
          </w:p>
          <w:p>
            <w:pPr>
              <w:pStyle w:val="null3"/>
            </w:pPr>
            <w:r>
              <w:rPr>
                <w:rFonts w:ascii="仿宋_GB2312" w:hAnsi="仿宋_GB2312" w:cs="仿宋_GB2312" w:eastAsia="仿宋_GB2312"/>
              </w:rPr>
              <w:t>（2）公用墙面、门、闭门器、窗轨、玻璃、开关、消防栓、报警器、指示牌、出风口、门及上下门缝等无污渍、无灰尘；</w:t>
            </w:r>
          </w:p>
          <w:p>
            <w:pPr>
              <w:pStyle w:val="null3"/>
            </w:pPr>
            <w:r>
              <w:rPr>
                <w:rFonts w:ascii="仿宋_GB2312" w:hAnsi="仿宋_GB2312" w:cs="仿宋_GB2312" w:eastAsia="仿宋_GB2312"/>
              </w:rPr>
              <w:t>（3）烟灰缸、垃圾筒光亮无灰、无痰迹。</w:t>
            </w:r>
          </w:p>
          <w:p>
            <w:pPr>
              <w:pStyle w:val="null3"/>
            </w:pPr>
            <w:r>
              <w:rPr>
                <w:rFonts w:ascii="仿宋_GB2312" w:hAnsi="仿宋_GB2312" w:cs="仿宋_GB2312" w:eastAsia="仿宋_GB2312"/>
              </w:rPr>
              <w:t>4、公共区域保洁要求</w:t>
            </w:r>
          </w:p>
          <w:p>
            <w:pPr>
              <w:pStyle w:val="null3"/>
            </w:pPr>
            <w:r>
              <w:rPr>
                <w:rFonts w:ascii="仿宋_GB2312" w:hAnsi="仿宋_GB2312" w:cs="仿宋_GB2312" w:eastAsia="仿宋_GB2312"/>
              </w:rPr>
              <w:t>（1）墙壁清洁，灯具干净，无污渍；展板、展柜表面保持洁净；</w:t>
            </w:r>
          </w:p>
          <w:p>
            <w:pPr>
              <w:pStyle w:val="null3"/>
            </w:pPr>
            <w:r>
              <w:rPr>
                <w:rFonts w:ascii="仿宋_GB2312" w:hAnsi="仿宋_GB2312" w:cs="仿宋_GB2312" w:eastAsia="仿宋_GB2312"/>
              </w:rPr>
              <w:t>（2）展柜与展品：使用无尘布、软毛刷等工具，轻柔擦拭展柜玻璃及框架，无指纹、水渍、灰尘。展品表面禁止直接接触，如需清洁需配合馆方专业人员操作，避免损坏。</w:t>
            </w:r>
          </w:p>
          <w:p>
            <w:pPr>
              <w:pStyle w:val="null3"/>
            </w:pPr>
            <w:r>
              <w:rPr>
                <w:rFonts w:ascii="仿宋_GB2312" w:hAnsi="仿宋_GB2312" w:cs="仿宋_GB2312" w:eastAsia="仿宋_GB2312"/>
              </w:rPr>
              <w:t>（3）公共设施：桌椅、导览牌、触摸屏、垃圾桶等设施每日消毒擦拭，保持干燥无异味。</w:t>
            </w:r>
          </w:p>
          <w:p>
            <w:pPr>
              <w:pStyle w:val="null3"/>
            </w:pPr>
            <w:r>
              <w:rPr>
                <w:rFonts w:ascii="仿宋_GB2312" w:hAnsi="仿宋_GB2312" w:cs="仿宋_GB2312" w:eastAsia="仿宋_GB2312"/>
              </w:rPr>
              <w:t>（4）木门、门框、画框、闭门器、花叶、花盆、垫盘干净，无灰尘、无蜘蛛网、无污迹；</w:t>
            </w:r>
          </w:p>
          <w:p>
            <w:pPr>
              <w:pStyle w:val="null3"/>
            </w:pPr>
            <w:r>
              <w:rPr>
                <w:rFonts w:ascii="仿宋_GB2312" w:hAnsi="仿宋_GB2312" w:cs="仿宋_GB2312" w:eastAsia="仿宋_GB2312"/>
              </w:rPr>
              <w:t>（5）地面干净无灰尘；无死角；</w:t>
            </w:r>
          </w:p>
          <w:p>
            <w:pPr>
              <w:pStyle w:val="null3"/>
            </w:pPr>
            <w:r>
              <w:rPr>
                <w:rFonts w:ascii="仿宋_GB2312" w:hAnsi="仿宋_GB2312" w:cs="仿宋_GB2312" w:eastAsia="仿宋_GB2312"/>
              </w:rPr>
              <w:t>（6）公共垃圾箱垃圾容量不得超过2/3；</w:t>
            </w:r>
          </w:p>
          <w:p>
            <w:pPr>
              <w:pStyle w:val="null3"/>
            </w:pPr>
            <w:r>
              <w:rPr>
                <w:rFonts w:ascii="仿宋_GB2312" w:hAnsi="仿宋_GB2312" w:cs="仿宋_GB2312" w:eastAsia="仿宋_GB2312"/>
              </w:rPr>
              <w:t>（7）作业时间：优先在闭馆后或非高峰时段作业，避免影响访客参观；需在开放时段清洁时，设置明显提示标识。</w:t>
            </w:r>
          </w:p>
          <w:p>
            <w:pPr>
              <w:pStyle w:val="null3"/>
            </w:pPr>
            <w:r>
              <w:rPr>
                <w:rFonts w:ascii="仿宋_GB2312" w:hAnsi="仿宋_GB2312" w:cs="仿宋_GB2312" w:eastAsia="仿宋_GB2312"/>
              </w:rPr>
              <w:t>（8）安全操作：高空作业（如天花板、灯具）需佩戴防护装备，使用稳固工具；湿滑区域及时放置“小心地滑”警示牌。</w:t>
            </w:r>
          </w:p>
          <w:p>
            <w:pPr>
              <w:pStyle w:val="null3"/>
            </w:pPr>
            <w:r>
              <w:rPr>
                <w:rFonts w:ascii="仿宋_GB2312" w:hAnsi="仿宋_GB2312" w:cs="仿宋_GB2312" w:eastAsia="仿宋_GB2312"/>
              </w:rPr>
              <w:t>5、外围保洁要求</w:t>
            </w:r>
          </w:p>
          <w:p>
            <w:pPr>
              <w:pStyle w:val="null3"/>
            </w:pPr>
            <w:r>
              <w:rPr>
                <w:rFonts w:ascii="仿宋_GB2312" w:hAnsi="仿宋_GB2312" w:cs="仿宋_GB2312" w:eastAsia="仿宋_GB2312"/>
              </w:rPr>
              <w:t>（1）大堂门外车道、台阶、地面无杂物、无痰迹；</w:t>
            </w:r>
          </w:p>
          <w:p>
            <w:pPr>
              <w:pStyle w:val="null3"/>
            </w:pPr>
            <w:r>
              <w:rPr>
                <w:rFonts w:ascii="仿宋_GB2312" w:hAnsi="仿宋_GB2312" w:cs="仿宋_GB2312" w:eastAsia="仿宋_GB2312"/>
              </w:rPr>
              <w:t>（2）外围标志牌、台阶、柱子、灯饰等干净，无灰尘、无污渍；</w:t>
            </w:r>
          </w:p>
          <w:p>
            <w:pPr>
              <w:pStyle w:val="null3"/>
            </w:pPr>
            <w:r>
              <w:rPr>
                <w:rFonts w:ascii="仿宋_GB2312" w:hAnsi="仿宋_GB2312" w:cs="仿宋_GB2312" w:eastAsia="仿宋_GB2312"/>
              </w:rPr>
              <w:t>（3）柱子、玻璃墙、平台干净、光亮、无尘；</w:t>
            </w:r>
          </w:p>
          <w:p>
            <w:pPr>
              <w:pStyle w:val="null3"/>
            </w:pPr>
            <w:r>
              <w:rPr>
                <w:rFonts w:ascii="仿宋_GB2312" w:hAnsi="仿宋_GB2312" w:cs="仿宋_GB2312" w:eastAsia="仿宋_GB2312"/>
              </w:rPr>
              <w:t>（4）墙面、柱子边沿、车道道沿干净，无灰尘；</w:t>
            </w:r>
          </w:p>
          <w:p>
            <w:pPr>
              <w:pStyle w:val="null3"/>
            </w:pPr>
            <w:r>
              <w:rPr>
                <w:rFonts w:ascii="仿宋_GB2312" w:hAnsi="仿宋_GB2312" w:cs="仿宋_GB2312" w:eastAsia="仿宋_GB2312"/>
              </w:rPr>
              <w:t>（5）墙面所有的开关、箱柜、消防栓、灭火器无浮尘；</w:t>
            </w:r>
          </w:p>
          <w:p>
            <w:pPr>
              <w:pStyle w:val="null3"/>
            </w:pPr>
            <w:r>
              <w:rPr>
                <w:rFonts w:ascii="仿宋_GB2312" w:hAnsi="仿宋_GB2312" w:cs="仿宋_GB2312" w:eastAsia="仿宋_GB2312"/>
              </w:rPr>
              <w:t>（6）每日上班前，大院内不得有垃圾和落叶，卫生打扫到位。</w:t>
            </w:r>
          </w:p>
          <w:p>
            <w:pPr>
              <w:pStyle w:val="null3"/>
            </w:pPr>
            <w:r>
              <w:rPr>
                <w:rFonts w:ascii="仿宋_GB2312" w:hAnsi="仿宋_GB2312" w:cs="仿宋_GB2312" w:eastAsia="仿宋_GB2312"/>
              </w:rPr>
              <w:t>（三）工程技术服务要求</w:t>
            </w:r>
          </w:p>
          <w:p>
            <w:pPr>
              <w:pStyle w:val="null3"/>
            </w:pPr>
            <w:r>
              <w:rPr>
                <w:rFonts w:ascii="仿宋_GB2312" w:hAnsi="仿宋_GB2312" w:cs="仿宋_GB2312" w:eastAsia="仿宋_GB2312"/>
              </w:rPr>
              <w:t>1、工程综合维护要求</w:t>
            </w:r>
          </w:p>
          <w:p>
            <w:pPr>
              <w:pStyle w:val="null3"/>
            </w:pPr>
            <w:r>
              <w:rPr>
                <w:rFonts w:ascii="仿宋_GB2312" w:hAnsi="仿宋_GB2312" w:cs="仿宋_GB2312" w:eastAsia="仿宋_GB2312"/>
              </w:rPr>
              <w:t>（1）建立健全各项物业服务制度，明确各种岗位工作标准，并制定具体的落实措施；</w:t>
            </w:r>
          </w:p>
          <w:p>
            <w:pPr>
              <w:pStyle w:val="null3"/>
            </w:pPr>
            <w:r>
              <w:rPr>
                <w:rFonts w:ascii="仿宋_GB2312" w:hAnsi="仿宋_GB2312" w:cs="仿宋_GB2312" w:eastAsia="仿宋_GB2312"/>
              </w:rPr>
              <w:t>（2）设备机房环境整洁卫生，物品摆放有序，机房内严禁吸烟、饮酒等与工作不相符的事宜，无关人员不得随意入内；</w:t>
            </w:r>
          </w:p>
          <w:p>
            <w:pPr>
              <w:pStyle w:val="null3"/>
            </w:pPr>
            <w:r>
              <w:rPr>
                <w:rFonts w:ascii="仿宋_GB2312" w:hAnsi="仿宋_GB2312" w:cs="仿宋_GB2312" w:eastAsia="仿宋_GB2312"/>
              </w:rPr>
              <w:t>（3）落实设备安全运行岗位责任制，分工明确，定期巡检和维护保养设备，严格执行有关维修保养规程和操作使用规程，并按规定记录设备运行状况；</w:t>
            </w:r>
          </w:p>
          <w:p>
            <w:pPr>
              <w:pStyle w:val="null3"/>
            </w:pPr>
            <w:r>
              <w:rPr>
                <w:rFonts w:ascii="仿宋_GB2312" w:hAnsi="仿宋_GB2312" w:cs="仿宋_GB2312" w:eastAsia="仿宋_GB2312"/>
              </w:rPr>
              <w:t>（4）设立服务电话，接受采购人管理，接受采购人和使用单位对物业服务报修、求助、建议，问询、质疑、投诉等各类信息的收集和反馈，并及时处理，有回访制度和记录，工作态度积极；</w:t>
            </w:r>
          </w:p>
          <w:p>
            <w:pPr>
              <w:pStyle w:val="null3"/>
            </w:pPr>
            <w:r>
              <w:rPr>
                <w:rFonts w:ascii="仿宋_GB2312" w:hAnsi="仿宋_GB2312" w:cs="仿宋_GB2312" w:eastAsia="仿宋_GB2312"/>
              </w:rPr>
              <w:t>（5）要保证维修质量，减少返修，并有回访记录；</w:t>
            </w:r>
          </w:p>
          <w:p>
            <w:pPr>
              <w:pStyle w:val="null3"/>
            </w:pPr>
            <w:r>
              <w:rPr>
                <w:rFonts w:ascii="仿宋_GB2312" w:hAnsi="仿宋_GB2312" w:cs="仿宋_GB2312" w:eastAsia="仿宋_GB2312"/>
              </w:rPr>
              <w:t>（6）制定和完善各类设备系统突发事件应急处置预案；</w:t>
            </w:r>
          </w:p>
          <w:p>
            <w:pPr>
              <w:pStyle w:val="null3"/>
            </w:pPr>
            <w:r>
              <w:rPr>
                <w:rFonts w:ascii="仿宋_GB2312" w:hAnsi="仿宋_GB2312" w:cs="仿宋_GB2312" w:eastAsia="仿宋_GB2312"/>
              </w:rPr>
              <w:t>（7）维修过程中尽量不影响采购人办公，维修结束时清理维修现场；</w:t>
            </w:r>
          </w:p>
          <w:p>
            <w:pPr>
              <w:pStyle w:val="null3"/>
            </w:pPr>
            <w:r>
              <w:rPr>
                <w:rFonts w:ascii="仿宋_GB2312" w:hAnsi="仿宋_GB2312" w:cs="仿宋_GB2312" w:eastAsia="仿宋_GB2312"/>
              </w:rPr>
              <w:t>（8）定期检测检修房屋及设备设施的易损与重要部位；</w:t>
            </w:r>
          </w:p>
          <w:p>
            <w:pPr>
              <w:pStyle w:val="null3"/>
            </w:pPr>
            <w:r>
              <w:rPr>
                <w:rFonts w:ascii="仿宋_GB2312" w:hAnsi="仿宋_GB2312" w:cs="仿宋_GB2312" w:eastAsia="仿宋_GB2312"/>
              </w:rPr>
              <w:t>（9）本项目设备设施过保后的维修费用，届时由双方协商决定；</w:t>
            </w:r>
          </w:p>
          <w:p>
            <w:pPr>
              <w:pStyle w:val="null3"/>
            </w:pPr>
            <w:r>
              <w:rPr>
                <w:rFonts w:ascii="仿宋_GB2312" w:hAnsi="仿宋_GB2312" w:cs="仿宋_GB2312" w:eastAsia="仿宋_GB2312"/>
              </w:rPr>
              <w:t>（10）一般性故障立即排除，暂时不能处理的通知有关部门采取应急措施，应急措施得当有效。</w:t>
            </w:r>
          </w:p>
          <w:p>
            <w:pPr>
              <w:pStyle w:val="null3"/>
            </w:pPr>
            <w:r>
              <w:rPr>
                <w:rFonts w:ascii="仿宋_GB2312" w:hAnsi="仿宋_GB2312" w:cs="仿宋_GB2312" w:eastAsia="仿宋_GB2312"/>
              </w:rPr>
              <w:t>2、房屋维修养护要求</w:t>
            </w:r>
          </w:p>
          <w:p>
            <w:pPr>
              <w:pStyle w:val="null3"/>
            </w:pPr>
            <w:r>
              <w:rPr>
                <w:rFonts w:ascii="仿宋_GB2312" w:hAnsi="仿宋_GB2312" w:cs="仿宋_GB2312" w:eastAsia="仿宋_GB2312"/>
              </w:rPr>
              <w:t>（1）定期进行房屋安全和完损检查，保证房屋完好；</w:t>
            </w:r>
          </w:p>
          <w:p>
            <w:pPr>
              <w:pStyle w:val="null3"/>
            </w:pPr>
            <w:r>
              <w:rPr>
                <w:rFonts w:ascii="仿宋_GB2312" w:hAnsi="仿宋_GB2312" w:cs="仿宋_GB2312" w:eastAsia="仿宋_GB2312"/>
              </w:rPr>
              <w:t>（2）爱护区域内设施、设备，未经产权人同意不得对区内的结构、设施等进行改动；</w:t>
            </w:r>
          </w:p>
          <w:p>
            <w:pPr>
              <w:pStyle w:val="null3"/>
            </w:pPr>
            <w:r>
              <w:rPr>
                <w:rFonts w:ascii="仿宋_GB2312" w:hAnsi="仿宋_GB2312" w:cs="仿宋_GB2312" w:eastAsia="仿宋_GB2312"/>
              </w:rPr>
              <w:t>3、给排水设备维护要求</w:t>
            </w:r>
          </w:p>
          <w:p>
            <w:pPr>
              <w:pStyle w:val="null3"/>
            </w:pPr>
            <w:r>
              <w:rPr>
                <w:rFonts w:ascii="仿宋_GB2312" w:hAnsi="仿宋_GB2312" w:cs="仿宋_GB2312" w:eastAsia="仿宋_GB2312"/>
              </w:rPr>
              <w:t>（1）保证物业服务区域内给排水设备、设施的正常运行；</w:t>
            </w:r>
          </w:p>
          <w:p>
            <w:pPr>
              <w:pStyle w:val="null3"/>
            </w:pPr>
            <w:r>
              <w:rPr>
                <w:rFonts w:ascii="仿宋_GB2312" w:hAnsi="仿宋_GB2312" w:cs="仿宋_GB2312" w:eastAsia="仿宋_GB2312"/>
              </w:rPr>
              <w:t>（2）加强巡查，防止跑、冒、滴、漏，保证设备设施完好，发现问题及时处理；</w:t>
            </w:r>
          </w:p>
          <w:p>
            <w:pPr>
              <w:pStyle w:val="null3"/>
            </w:pPr>
            <w:r>
              <w:rPr>
                <w:rFonts w:ascii="仿宋_GB2312" w:hAnsi="仿宋_GB2312" w:cs="仿宋_GB2312" w:eastAsia="仿宋_GB2312"/>
              </w:rPr>
              <w:t>（3）保证室内外排水系统通畅；</w:t>
            </w:r>
          </w:p>
          <w:p>
            <w:pPr>
              <w:pStyle w:val="null3"/>
            </w:pPr>
            <w:r>
              <w:rPr>
                <w:rFonts w:ascii="仿宋_GB2312" w:hAnsi="仿宋_GB2312" w:cs="仿宋_GB2312" w:eastAsia="仿宋_GB2312"/>
              </w:rPr>
              <w:t>（4）做好与在相关部门和单位的沟通，及时做好传达工作；</w:t>
            </w:r>
          </w:p>
          <w:p>
            <w:pPr>
              <w:pStyle w:val="null3"/>
            </w:pPr>
            <w:r>
              <w:rPr>
                <w:rFonts w:ascii="仿宋_GB2312" w:hAnsi="仿宋_GB2312" w:cs="仿宋_GB2312" w:eastAsia="仿宋_GB2312"/>
              </w:rPr>
              <w:t>（5）制定漏水处理相关应急预案并加强员工培训。</w:t>
            </w:r>
          </w:p>
          <w:p>
            <w:pPr>
              <w:pStyle w:val="null3"/>
            </w:pPr>
            <w:r>
              <w:rPr>
                <w:rFonts w:ascii="仿宋_GB2312" w:hAnsi="仿宋_GB2312" w:cs="仿宋_GB2312" w:eastAsia="仿宋_GB2312"/>
              </w:rPr>
              <w:t>4、供电设备维护要求</w:t>
            </w:r>
          </w:p>
          <w:p>
            <w:pPr>
              <w:pStyle w:val="null3"/>
            </w:pPr>
            <w:r>
              <w:rPr>
                <w:rFonts w:ascii="仿宋_GB2312" w:hAnsi="仿宋_GB2312" w:cs="仿宋_GB2312" w:eastAsia="仿宋_GB2312"/>
              </w:rPr>
              <w:t>（1）统筹规划，计划合理、节约用电；</w:t>
            </w:r>
          </w:p>
          <w:p>
            <w:pPr>
              <w:pStyle w:val="null3"/>
            </w:pPr>
            <w:r>
              <w:rPr>
                <w:rFonts w:ascii="仿宋_GB2312" w:hAnsi="仿宋_GB2312" w:cs="仿宋_GB2312" w:eastAsia="仿宋_GB2312"/>
              </w:rPr>
              <w:t>（2）配电室及时检查，定期维护。潮湿天气时，采用安全有效措施，保持配电房内主要电器设备干燥；</w:t>
            </w:r>
          </w:p>
          <w:p>
            <w:pPr>
              <w:pStyle w:val="null3"/>
            </w:pPr>
            <w:r>
              <w:rPr>
                <w:rFonts w:ascii="仿宋_GB2312" w:hAnsi="仿宋_GB2312" w:cs="仿宋_GB2312" w:eastAsia="仿宋_GB2312"/>
              </w:rPr>
              <w:t>（3）供电设备定期维护和检测；</w:t>
            </w:r>
          </w:p>
          <w:p>
            <w:pPr>
              <w:pStyle w:val="null3"/>
            </w:pPr>
            <w:r>
              <w:rPr>
                <w:rFonts w:ascii="仿宋_GB2312" w:hAnsi="仿宋_GB2312" w:cs="仿宋_GB2312" w:eastAsia="仿宋_GB2312"/>
              </w:rPr>
              <w:t>（4）严格执行用电安全规范，确保用电安全；</w:t>
            </w:r>
          </w:p>
          <w:p>
            <w:pPr>
              <w:pStyle w:val="null3"/>
            </w:pPr>
            <w:r>
              <w:rPr>
                <w:rFonts w:ascii="仿宋_GB2312" w:hAnsi="仿宋_GB2312" w:cs="仿宋_GB2312" w:eastAsia="仿宋_GB2312"/>
              </w:rPr>
              <w:t>6、消防监控系统要求</w:t>
            </w:r>
          </w:p>
          <w:p>
            <w:pPr>
              <w:pStyle w:val="null3"/>
            </w:pPr>
            <w:r>
              <w:rPr>
                <w:rFonts w:ascii="仿宋_GB2312" w:hAnsi="仿宋_GB2312" w:cs="仿宋_GB2312" w:eastAsia="仿宋_GB2312"/>
              </w:rPr>
              <w:t>（1）定期检查消防通道是否畅通，紧急疏散标识是否完好无缺；</w:t>
            </w:r>
          </w:p>
          <w:p>
            <w:pPr>
              <w:pStyle w:val="null3"/>
            </w:pPr>
            <w:r>
              <w:rPr>
                <w:rFonts w:ascii="仿宋_GB2312" w:hAnsi="仿宋_GB2312" w:cs="仿宋_GB2312" w:eastAsia="仿宋_GB2312"/>
              </w:rPr>
              <w:t>（2）制定消防突发事件应急预案；</w:t>
            </w:r>
          </w:p>
          <w:p>
            <w:pPr>
              <w:pStyle w:val="null3"/>
            </w:pPr>
            <w:r>
              <w:rPr>
                <w:rFonts w:ascii="仿宋_GB2312" w:hAnsi="仿宋_GB2312" w:cs="仿宋_GB2312" w:eastAsia="仿宋_GB2312"/>
              </w:rPr>
              <w:t>（3）消防事件发生时，积极应对，组织灭火、控制火场或报警，同时能有效疏散人群；</w:t>
            </w:r>
          </w:p>
          <w:p>
            <w:pPr>
              <w:pStyle w:val="null3"/>
            </w:pPr>
            <w:r>
              <w:rPr>
                <w:rFonts w:ascii="仿宋_GB2312" w:hAnsi="仿宋_GB2312" w:cs="仿宋_GB2312" w:eastAsia="仿宋_GB2312"/>
              </w:rPr>
              <w:t>（4）定期检查消防自动报警系统、消防喷淋系统、消防排烟系统、对讲系统等设备的正常运行；</w:t>
            </w:r>
          </w:p>
          <w:p>
            <w:pPr>
              <w:pStyle w:val="null3"/>
            </w:pPr>
            <w:r>
              <w:rPr>
                <w:rFonts w:ascii="仿宋_GB2312" w:hAnsi="仿宋_GB2312" w:cs="仿宋_GB2312" w:eastAsia="仿宋_GB2312"/>
              </w:rPr>
              <w:t>（5）采购人根据项目实际情况聘请专业公司对消防监控设备进行维保，由维保公司对服务商进行相关操作及日常维护的培训，配合维保公司及时排查设备故障。</w:t>
            </w:r>
          </w:p>
          <w:p>
            <w:pPr>
              <w:pStyle w:val="null3"/>
            </w:pPr>
            <w:r>
              <w:rPr>
                <w:rFonts w:ascii="仿宋_GB2312" w:hAnsi="仿宋_GB2312" w:cs="仿宋_GB2312" w:eastAsia="仿宋_GB2312"/>
              </w:rPr>
              <w:t>（四）讲解服务要求</w:t>
            </w:r>
          </w:p>
          <w:p>
            <w:pPr>
              <w:pStyle w:val="null3"/>
            </w:pPr>
            <w:r>
              <w:rPr>
                <w:rFonts w:ascii="仿宋_GB2312" w:hAnsi="仿宋_GB2312" w:cs="仿宋_GB2312" w:eastAsia="仿宋_GB2312"/>
              </w:rPr>
              <w:t>1、对讲解内容有深入了解，准确传达信息，避免错误。</w:t>
            </w:r>
          </w:p>
          <w:p>
            <w:pPr>
              <w:pStyle w:val="null3"/>
            </w:pPr>
            <w:r>
              <w:rPr>
                <w:rFonts w:ascii="仿宋_GB2312" w:hAnsi="仿宋_GB2312" w:cs="仿宋_GB2312" w:eastAsia="仿宋_GB2312"/>
              </w:rPr>
              <w:t>2、语言流畅、清晰，语速适中。</w:t>
            </w:r>
          </w:p>
          <w:p>
            <w:pPr>
              <w:pStyle w:val="null3"/>
            </w:pPr>
            <w:r>
              <w:rPr>
                <w:rFonts w:ascii="仿宋_GB2312" w:hAnsi="仿宋_GB2312" w:cs="仿宋_GB2312" w:eastAsia="仿宋_GB2312"/>
              </w:rPr>
              <w:t>3、善于观察听众反应，互动答疑，营造轻松氛围，避免照本宣科。</w:t>
            </w:r>
          </w:p>
          <w:p>
            <w:pPr>
              <w:pStyle w:val="null3"/>
            </w:pPr>
            <w:r>
              <w:rPr>
                <w:rFonts w:ascii="仿宋_GB2312" w:hAnsi="仿宋_GB2312" w:cs="仿宋_GB2312" w:eastAsia="仿宋_GB2312"/>
              </w:rPr>
              <w:t>4、仪表端庄，举止得体，肢体语言自然，增强亲和力与可信度。</w:t>
            </w:r>
          </w:p>
          <w:p>
            <w:pPr>
              <w:pStyle w:val="null3"/>
            </w:pPr>
            <w:r>
              <w:rPr>
                <w:rFonts w:ascii="仿宋_GB2312" w:hAnsi="仿宋_GB2312" w:cs="仿宋_GB2312" w:eastAsia="仿宋_GB2312"/>
              </w:rPr>
              <w:t>5、灵活处理突发情况（如设备故障、听众提问），保持冷静与耐心。</w:t>
            </w:r>
          </w:p>
          <w:p>
            <w:pPr>
              <w:pStyle w:val="null3"/>
            </w:pPr>
            <w:r>
              <w:rPr>
                <w:rFonts w:ascii="仿宋_GB2312" w:hAnsi="仿宋_GB2312" w:cs="仿宋_GB2312" w:eastAsia="仿宋_GB2312"/>
              </w:rPr>
              <w:t>6、积累相关领域知识，提升讲解深度与感染力。</w:t>
            </w:r>
          </w:p>
          <w:p>
            <w:pPr>
              <w:pStyle w:val="null3"/>
            </w:pPr>
            <w:r>
              <w:rPr>
                <w:rFonts w:ascii="仿宋_GB2312" w:hAnsi="仿宋_GB2312" w:cs="仿宋_GB2312" w:eastAsia="仿宋_GB2312"/>
              </w:rPr>
              <w:t>（五）安保服务要求</w:t>
            </w:r>
          </w:p>
          <w:p>
            <w:pPr>
              <w:pStyle w:val="null3"/>
            </w:pPr>
            <w:r>
              <w:rPr>
                <w:rFonts w:ascii="仿宋_GB2312" w:hAnsi="仿宋_GB2312" w:cs="仿宋_GB2312" w:eastAsia="仿宋_GB2312"/>
              </w:rPr>
              <w:t>1、保证辖区内安全和正常工作、生活秩序，做好协防保卫，做好车辆、车库、道路及安全秩序管理等；</w:t>
            </w:r>
          </w:p>
          <w:p>
            <w:pPr>
              <w:pStyle w:val="null3"/>
            </w:pPr>
            <w:r>
              <w:rPr>
                <w:rFonts w:ascii="仿宋_GB2312" w:hAnsi="仿宋_GB2312" w:cs="仿宋_GB2312" w:eastAsia="仿宋_GB2312"/>
              </w:rPr>
              <w:t>2、安保设置门岗和巡逻岗，对外来人员，建立询问登记制度，礼貌用语、文明用语、热情服务，按照采购人要求进行出入管理服务；</w:t>
            </w:r>
          </w:p>
          <w:p>
            <w:pPr>
              <w:pStyle w:val="null3"/>
            </w:pPr>
            <w:r>
              <w:rPr>
                <w:rFonts w:ascii="仿宋_GB2312" w:hAnsi="仿宋_GB2312" w:cs="仿宋_GB2312" w:eastAsia="仿宋_GB2312"/>
              </w:rPr>
              <w:t>3、保证区域内安全秩序良好，道路通畅，引导指挥车辆停放有序；</w:t>
            </w:r>
          </w:p>
          <w:p>
            <w:pPr>
              <w:pStyle w:val="null3"/>
            </w:pPr>
            <w:r>
              <w:rPr>
                <w:rFonts w:ascii="仿宋_GB2312" w:hAnsi="仿宋_GB2312" w:cs="仿宋_GB2312" w:eastAsia="仿宋_GB2312"/>
              </w:rPr>
              <w:t>4、遇有重要活动承担礼宾工作，精神饱满，举止得体；</w:t>
            </w:r>
          </w:p>
          <w:p>
            <w:pPr>
              <w:pStyle w:val="null3"/>
            </w:pPr>
            <w:r>
              <w:rPr>
                <w:rFonts w:ascii="仿宋_GB2312" w:hAnsi="仿宋_GB2312" w:cs="仿宋_GB2312" w:eastAsia="仿宋_GB2312"/>
              </w:rPr>
              <w:t>5、制定安全管理服务预案，完善责任制，遇突发事件能应急处理；</w:t>
            </w:r>
          </w:p>
          <w:p>
            <w:pPr>
              <w:pStyle w:val="null3"/>
            </w:pPr>
            <w:r>
              <w:rPr>
                <w:rFonts w:ascii="仿宋_GB2312" w:hAnsi="仿宋_GB2312" w:cs="仿宋_GB2312" w:eastAsia="仿宋_GB2312"/>
              </w:rPr>
              <w:t>6、能及时发现和处理各种事故隐患，确保不发生安全方面的问题，能迅速有效处置突发事件：</w:t>
            </w:r>
          </w:p>
          <w:p>
            <w:pPr>
              <w:pStyle w:val="null3"/>
            </w:pPr>
            <w:r>
              <w:rPr>
                <w:rFonts w:ascii="仿宋_GB2312" w:hAnsi="仿宋_GB2312" w:cs="仿宋_GB2312" w:eastAsia="仿宋_GB2312"/>
              </w:rPr>
              <w:t>7、对针对本区域的盗抢破坏等违法行为，能够积极应对，及时报警协助制止。</w:t>
            </w:r>
          </w:p>
          <w:p>
            <w:pPr>
              <w:pStyle w:val="null3"/>
            </w:pPr>
            <w:r>
              <w:rPr>
                <w:rFonts w:ascii="仿宋_GB2312" w:hAnsi="仿宋_GB2312" w:cs="仿宋_GB2312" w:eastAsia="仿宋_GB2312"/>
              </w:rPr>
              <w:t>（六）其他要求</w:t>
            </w:r>
          </w:p>
          <w:p>
            <w:pPr>
              <w:pStyle w:val="null3"/>
            </w:pPr>
            <w:r>
              <w:rPr>
                <w:rFonts w:ascii="仿宋_GB2312" w:hAnsi="仿宋_GB2312" w:cs="仿宋_GB2312" w:eastAsia="仿宋_GB2312"/>
              </w:rPr>
              <w:t>对于临时性增加的机动工作，在场工作人员均应予以配合，服从指派和指挥。</w:t>
            </w:r>
          </w:p>
          <w:p>
            <w:pPr>
              <w:pStyle w:val="null3"/>
            </w:pPr>
            <w:r>
              <w:rPr>
                <w:rFonts w:ascii="仿宋_GB2312" w:hAnsi="仿宋_GB2312" w:cs="仿宋_GB2312" w:eastAsia="仿宋_GB2312"/>
              </w:rPr>
              <w:t>三、人员配置要求</w:t>
            </w:r>
          </w:p>
          <w:p>
            <w:pPr>
              <w:pStyle w:val="null3"/>
            </w:pPr>
            <w:r>
              <w:rPr>
                <w:rFonts w:ascii="仿宋_GB2312" w:hAnsi="仿宋_GB2312" w:cs="仿宋_GB2312" w:eastAsia="仿宋_GB2312"/>
              </w:rPr>
              <w:t>（一）总体要求：服务商选用素质高、业务精的人员承担本项目的物业管理服务，根据项目需求人员配置9人，根据岗位、工种、季节等，统一配发工装及工牌。物业服务人员统一着工装上岗，工作期间佩戴工作证上岗，做到文明用语，礼貌待人，遵守采购人的各项工作制度，爱护公共财物。人员配置：保洁2人，保安2人，展馆讲解员2人，水电工1人，技术员2人，共9人。</w:t>
            </w:r>
          </w:p>
          <w:p>
            <w:pPr>
              <w:pStyle w:val="null3"/>
            </w:pPr>
            <w:r>
              <w:rPr>
                <w:rFonts w:ascii="仿宋_GB2312" w:hAnsi="仿宋_GB2312" w:cs="仿宋_GB2312" w:eastAsia="仿宋_GB2312"/>
              </w:rPr>
              <w:t>（二）工作人员要求：</w:t>
            </w:r>
          </w:p>
          <w:p>
            <w:pPr>
              <w:pStyle w:val="null3"/>
            </w:pPr>
            <w:r>
              <w:rPr>
                <w:rFonts w:ascii="仿宋_GB2312" w:hAnsi="仿宋_GB2312" w:cs="仿宋_GB2312" w:eastAsia="仿宋_GB2312"/>
              </w:rPr>
              <w:t>1、展馆讲解人员2人，年龄40岁以内，专科及以上学历，应当形象良好，气质佳，仪态大方，业务熟练，且身高不低于163cm；</w:t>
            </w:r>
          </w:p>
          <w:p>
            <w:pPr>
              <w:pStyle w:val="null3"/>
            </w:pPr>
            <w:r>
              <w:rPr>
                <w:rFonts w:ascii="仿宋_GB2312" w:hAnsi="仿宋_GB2312" w:cs="仿宋_GB2312" w:eastAsia="仿宋_GB2312"/>
              </w:rPr>
              <w:t>2、安保人员2人，身体健康，相貌端正、业务素质过硬，形象岗位身高不低于173cm，年龄18岁至60岁之间，须具有相关证书；</w:t>
            </w:r>
          </w:p>
          <w:p>
            <w:pPr>
              <w:pStyle w:val="null3"/>
            </w:pPr>
            <w:r>
              <w:rPr>
                <w:rFonts w:ascii="仿宋_GB2312" w:hAnsi="仿宋_GB2312" w:cs="仿宋_GB2312" w:eastAsia="仿宋_GB2312"/>
              </w:rPr>
              <w:t>3、保洁服务人员2人，年龄不超过60岁，身体健康；</w:t>
            </w:r>
          </w:p>
          <w:p>
            <w:pPr>
              <w:pStyle w:val="null3"/>
            </w:pPr>
            <w:r>
              <w:rPr>
                <w:rFonts w:ascii="仿宋_GB2312" w:hAnsi="仿宋_GB2312" w:cs="仿宋_GB2312" w:eastAsia="仿宋_GB2312"/>
              </w:rPr>
              <w:t>4、水电工1人、技术人员2人，年龄60岁以内（具有相关证书）。</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自合同签订之日起2026年4月30日止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合同签订后，供应商向采购方开具等额的增值税普通发票采购方收到合规的发票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2026年4月底前供应商向采购方开具等额的增值税普通发票，采购方收到合规的发票 </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详见采购需求</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 xml:space="preserve"> 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具有独立承担民事责任能力的法人、其他组织或自然人，并出具合法有效的统一社会信用代码的营业执照或事业单位法人证书等国家规定的相关证明，自然人参与的提供其身份证明；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提供2024年度的财务审计报告（成立时间至提交响应文件截止时间不足一年的可提供成立后任意时段的资产负债表），或开标时间前六个月内银行出具的资信证明；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提供2024年6月至今已缴纳任意一个月的纳税证明或完税证明（任意税种），依法免税的单位应提供相关证明材料；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提供2024年6月至今已缴纳任意一个月的社会保障资金缴存单据或社保机构开具的社会保险参保缴费情况证明，依法不需要缴纳社会保障资金的单位应提供相关证明材料；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相关主体信用记录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供应商通过“信用中国”网站(www.creditchina.gov.cn)、中国政府采购网(www.ccgp.gov.cn)等查询相关主体信用记录；</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特定资格证明文件.docx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本采购包专门面向中小企业采购（提供中小企业声明函）；</w:t>
            </w:r>
          </w:p>
        </w:tc>
        <w:tc>
          <w:tcPr>
            <w:tcW w:type="dxa" w:w="1661"/>
          </w:tcPr>
          <w:p>
            <w:pPr>
              <w:pStyle w:val="null3"/>
            </w:pPr>
            <w:r>
              <w:rPr>
                <w:rFonts w:ascii="仿宋_GB2312" w:hAnsi="仿宋_GB2312" w:cs="仿宋_GB2312" w:eastAsia="仿宋_GB2312"/>
              </w:rPr>
              <w:t>中小企业声明函 特定资格证明文件.docx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非联合体承诺</w:t>
            </w:r>
          </w:p>
        </w:tc>
        <w:tc>
          <w:tcPr>
            <w:tcW w:type="dxa" w:w="3322"/>
          </w:tcPr>
          <w:p>
            <w:pPr>
              <w:pStyle w:val="null3"/>
            </w:pPr>
            <w:r>
              <w:rPr>
                <w:rFonts w:ascii="仿宋_GB2312" w:hAnsi="仿宋_GB2312" w:cs="仿宋_GB2312" w:eastAsia="仿宋_GB2312"/>
              </w:rPr>
              <w:t>本项目不接受联合体磋商（提供承诺书）。</w:t>
            </w:r>
          </w:p>
        </w:tc>
        <w:tc>
          <w:tcPr>
            <w:tcW w:type="dxa" w:w="1661"/>
          </w:tcPr>
          <w:p>
            <w:pPr>
              <w:pStyle w:val="null3"/>
            </w:pPr>
            <w:r>
              <w:rPr>
                <w:rFonts w:ascii="仿宋_GB2312" w:hAnsi="仿宋_GB2312" w:cs="仿宋_GB2312" w:eastAsia="仿宋_GB2312"/>
              </w:rPr>
              <w:t>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竞争性磋商响应文件的完整性</w:t>
            </w:r>
          </w:p>
        </w:tc>
        <w:tc>
          <w:tcPr>
            <w:tcW w:type="dxa" w:w="3322"/>
          </w:tcPr>
          <w:p>
            <w:pPr>
              <w:pStyle w:val="null3"/>
            </w:pPr>
            <w:r>
              <w:rPr>
                <w:rFonts w:ascii="仿宋_GB2312" w:hAnsi="仿宋_GB2312" w:cs="仿宋_GB2312" w:eastAsia="仿宋_GB2312"/>
              </w:rPr>
              <w:t>竞争性磋商响应文件构成是否有重大缺项，是否按照竞争性磋商文件要求的格式编写竞争性磋商响应文件</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竞争性磋商响应文件的有效性</w:t>
            </w:r>
          </w:p>
        </w:tc>
        <w:tc>
          <w:tcPr>
            <w:tcW w:type="dxa" w:w="3322"/>
          </w:tcPr>
          <w:p>
            <w:pPr>
              <w:pStyle w:val="null3"/>
            </w:pPr>
            <w:r>
              <w:rPr>
                <w:rFonts w:ascii="仿宋_GB2312" w:hAnsi="仿宋_GB2312" w:cs="仿宋_GB2312" w:eastAsia="仿宋_GB2312"/>
              </w:rPr>
              <w:t>竞争性磋商响应文件的签署、加盖印章是否合格、有效；提供的各种证明文件、数据、资料是否真实、有效</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竞争性磋商响应文件的响应性</w:t>
            </w:r>
          </w:p>
        </w:tc>
        <w:tc>
          <w:tcPr>
            <w:tcW w:type="dxa" w:w="3322"/>
          </w:tcPr>
          <w:p>
            <w:pPr>
              <w:pStyle w:val="null3"/>
            </w:pPr>
            <w:r>
              <w:rPr>
                <w:rFonts w:ascii="仿宋_GB2312" w:hAnsi="仿宋_GB2312" w:cs="仿宋_GB2312" w:eastAsia="仿宋_GB2312"/>
              </w:rPr>
              <w:t>磋商有效期是否符合竞争性磋商文件要求；是否满足本次磋商的特殊要求；磋商方案是否有重大缺漏项；磋商商务响应条款是否有重大偏离；对合同中规定的双方的权利和义务是否做出了实质性修改</w:t>
            </w:r>
          </w:p>
        </w:tc>
        <w:tc>
          <w:tcPr>
            <w:tcW w:type="dxa" w:w="1661"/>
          </w:tcPr>
          <w:p>
            <w:pPr>
              <w:pStyle w:val="null3"/>
            </w:pPr>
            <w:r>
              <w:rPr>
                <w:rFonts w:ascii="仿宋_GB2312" w:hAnsi="仿宋_GB2312" w:cs="仿宋_GB2312" w:eastAsia="仿宋_GB2312"/>
              </w:rPr>
              <w:t>业绩.docx 服务内容及服务邀请应答表 中小企业声明函 商务应答表 特定资格证明文件.docx 供应商应提交的相关资格证明材料 报价表 响应文件封面 本项目拟投入人员汇总表.docx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需求响应</w:t>
            </w:r>
          </w:p>
        </w:tc>
        <w:tc>
          <w:tcPr>
            <w:tcW w:type="dxa" w:w="2492"/>
          </w:tcPr>
          <w:p>
            <w:pPr>
              <w:pStyle w:val="null3"/>
            </w:pPr>
            <w:r>
              <w:rPr>
                <w:rFonts w:ascii="仿宋_GB2312" w:hAnsi="仿宋_GB2312" w:cs="仿宋_GB2312" w:eastAsia="仿宋_GB2312"/>
              </w:rPr>
              <w:t>一、评审内容针对本项目提出适用于本项目的需求响应方案，包括：①项目理解②需求分析③项目重难点分析 二、评审标准 1、完整性：方案必须全面，对评审内容中的各项要求有详细描述； 2、可实施性：切合本项目实际情况，提出步骤清晰、合理的方案； 3、针对性：方案能够紧扣项目实际情况，内容科学合理。 三、赋分标准（满分9分） ①项目理解：每完全满足一个评审标准得 1分，未完全满足一个评审标准得0-0.9分，满分3分； ②需求分析：每完全满足一个评审标准得1分，未完全满足一个评审标准得0-0.9分，满分3分； ③项目重难点分析：每完全满足一个评审标准得1 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 针对本项目提出适用于本项目的服务方案，包括：①整体服务方案②项目实施计划③组织实施方案 二、评审标准 1、完整性：方案必须全面，对评审内容中的各项要求有详细描述； 2、可实施性：切合本项目实际情况，提出步骤清晰、合理的方案； 3、针对性：方案能够紧扣项目实际情况，内容科学合理。 三、赋分标准（满分18分） ①整体服务方案：每完全满足一个评审标准得2分，未完全满足一个评审标准得0-1.9分，满分6分； ②项目实施计划：每完全满足一个评审标准得2分，未完全满足一个评审标准得0-1.9分，满分6分； ③组织实施方案：每完全满足一个评审标准得2分，未完全满足一个评审标准得0-1.9分，满分6分。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针对采购需求提出适用于本项目的措施方案，方案包括：①内控制度②人员管理制度③自查制度 二、评审标准 1、完整性：方案必须全面，对评审内容中的各项要求有详细描述； 2、可实施性：切合本项目实际情况，提出步骤清晰、合理的方案； 3、针对性：方案能够紧扣项目实际情况，内容科学合理。 三、赋分标准（满分12分） ：①内控制度：每完全满足一个评审标准得1分，未完全满足一个评审标准得0-0.9分，满分3分； ②人员管理制度：每完全满足一个评审标准得1分，未完全满足一个评审标准得0-0.9分，满分3分； ③自查制度：每完全满足一个评审标准得2分，未完全满足一个评审标准得0-1.9分，满分6分。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一、评审内容 针对本项目制定培训考核方案，方案内容包含①培训：针对不同的岗位职责、行为规范、服务礼仪等方面制定培训方案②考核：针对不同的岗位、制度及工作程序制定考核方案。 二、评审标准 1、完整性：方案必须全面，对评审内容中的各项要求有详细描述； 2、可实施性：切合本项目实际情况，提出步骤清晰、合理的方案； 3、针对性：方案能够紧扣项目实际情况，内容科学合理。 三、赋分标准（满分12分）①培训：每完全满足一个评审标准得2分，未完全满足一个评审标准得0-1.9分，满分6分； ②考核：每完全满足一个评审标准得2分，未完全满足一个评审标准得0-1.9分，满分6分。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项目实施管理方案</w:t>
            </w:r>
          </w:p>
        </w:tc>
        <w:tc>
          <w:tcPr>
            <w:tcW w:type="dxa" w:w="2492"/>
          </w:tcPr>
          <w:p>
            <w:pPr>
              <w:pStyle w:val="null3"/>
            </w:pPr>
            <w:r>
              <w:rPr>
                <w:rFonts w:ascii="仿宋_GB2312" w:hAnsi="仿宋_GB2312" w:cs="仿宋_GB2312" w:eastAsia="仿宋_GB2312"/>
              </w:rPr>
              <w:t>一、评审内容 针对本项目提出适用于本项目的实施管理方案，方案包括：①拟投入的设备、物料②人员组织管理方案③保洁物耗等；二、评审标准 1、完整性：方案必须全面，对评审内容中的各项要求有详细描述； 2、可实施性：切合本项目实际情况，提出步骤清晰、合理的方案； 3、针对性：方案能够紧扣项目实际情况，内容科学合理。 三、赋分标准（满分9分） ①拟投入的设备、物料：每完全满足一个评审标准得1分，未完全满足一个评审标准得0-0.9分，满分3分；②人员组织管理方案：每完全满足一个评审标准得1分，未完全满足一个评审标准得0-0.9分，满分3分；③保洁物耗等：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服务承诺及应急管理</w:t>
            </w:r>
          </w:p>
        </w:tc>
        <w:tc>
          <w:tcPr>
            <w:tcW w:type="dxa" w:w="2492"/>
          </w:tcPr>
          <w:p>
            <w:pPr>
              <w:pStyle w:val="null3"/>
            </w:pPr>
            <w:r>
              <w:rPr>
                <w:rFonts w:ascii="仿宋_GB2312" w:hAnsi="仿宋_GB2312" w:cs="仿宋_GB2312" w:eastAsia="仿宋_GB2312"/>
              </w:rPr>
              <w:t>一、评审内容 针对本项目提出适用于本项目的服务方案，方案包括：①服务承诺②应急预案③应急保障措施 二、评审标准 1、完整性：方案必须全面，对评审内容中的各项要求有详细描述； 2、可实施性：切合本项目实际情况，提出步骤清晰、合理的方案； 3、针对性：方案能够紧扣项目实际情况，内容科学合理。 三、赋分标准（满分9分） ①服务承诺：每完全满足一个评审标准得1分，未完全满足一个评审标准得0-0.9分，满分3分； ②应急预案：每完全满足一个评审标准得1分，未完全满足一个评审标准得0-0.9分，满分3分； ③应急保障措施：每完全满足一个评审标准得1分，未完全满足一个评审标准得0-0.9分，满分3分。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对本项目服务工作中的常见问题进行梳理，具有良好的解决方案并及时向采购人提出合理化建议，每提供一条有效的建议得1分，满分2分。不提供不得分。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一、评审内容 针对本项目提出适用于本项目的项目团队配置方案，包括：①团队人员各专业岗位配置②团队人员管理制度二、评审标准 1、完整性：方案必须全面，对评审内容中的各项要求有详细描述； 2、可实施性：切合本项目实际情况，提出步骤清晰、合理的方案； 3、针对性：方案能够紧扣项目实际情况，内容科学合理。 三、赋分标准（满分9分） ①团队人员各专业岗位配置：每完全满足一个评审标准得1.5分，未满足一个评审标准要求综合赋分0-1.4分，满分4.5分； ②团队人员管理制度：每完全满足一个评审标准得1.5分，未满足一个评审标准要求综合赋分0-1.4分，满分4.5分。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须提供自2022年1月1日至今类似项目业绩，以供应商提供的合同或中标（成交）通知书复印件（或扫描件）为准（日期以合同签订时间或中标（成交）通知书时间为准），每提供一份得2分，满分10分；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1.经初审合格的响应文件，其磋商响应报价为有效投标价。 2.有效最低报价为基准价得10分。 3.按（有效最低报价/有效投标报价）×10的公式计算其得分。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详见附件：特定资格证明文件.docx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详见附件：本项目拟投入人员汇总表.docx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