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版本号：SXLZ-2025-14320250808002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2024年第二批市级水利发展建设专项资金长安区小型水库维修养护项目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SXLZ-2025-143</w:t>
      </w:r>
      <w:r>
        <w:br/>
      </w:r>
      <w:r>
        <w:br/>
      </w:r>
      <w:r>
        <w:br/>
      </w:r>
    </w:p>
    <w:p>
      <w:pPr>
        <w:pStyle w:val="null3"/>
        <w:jc w:val="center"/>
        <w:outlineLvl w:val="2"/>
      </w:pPr>
      <w:r>
        <w:rPr>
          <w:rFonts w:ascii="仿宋_GB2312" w:hAnsi="仿宋_GB2312" w:cs="仿宋_GB2312" w:eastAsia="仿宋_GB2312"/>
          <w:sz w:val="28"/>
          <w:b/>
        </w:rPr>
        <w:t>西安市长安区大峪灌区管理站</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西安市长安区大峪灌区管理站</w:t>
      </w:r>
      <w:r>
        <w:rPr>
          <w:rFonts w:ascii="仿宋_GB2312" w:hAnsi="仿宋_GB2312" w:cs="仿宋_GB2312" w:eastAsia="仿宋_GB2312"/>
        </w:rPr>
        <w:t>委托，拟对</w:t>
      </w:r>
      <w:r>
        <w:rPr>
          <w:rFonts w:ascii="仿宋_GB2312" w:hAnsi="仿宋_GB2312" w:cs="仿宋_GB2312" w:eastAsia="仿宋_GB2312"/>
        </w:rPr>
        <w:t>2024年第二批市级水利发展建设专项资金长安区小型水库维修养护项目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2024年第二批市级水利发展建设专项资金长安区小型水库维修养护项目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主要任务是对长安区大峪水库、东沟水库、许家沟水库、小峪水库、翠华山水库5座小(1)型，正岔水库、塔盘沟水库、东沟二号水库、三合一水库、子午峪水库、黄峪寺水库、清水河水库7座小(2)型水库日常运行出现的问题进行维修和养护，确保库区行洪安全，保证库区内放水设施的正常启停，保障水库的正常安全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采购包1（2024年第二批市级水利发展建设专项资金长安区小型水库维修养护项目）：属于专门面向小微企业采购。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1、供应商资质要求：供应商须具备建设行政部门核发的水利水电工程施工总承包三级（含三级）以上资质，并且具有有效的安全生产许可证。</w:t>
      </w:r>
    </w:p>
    <w:p>
      <w:pPr>
        <w:pStyle w:val="null3"/>
      </w:pPr>
      <w:r>
        <w:rPr>
          <w:rFonts w:ascii="仿宋_GB2312" w:hAnsi="仿宋_GB2312" w:cs="仿宋_GB2312" w:eastAsia="仿宋_GB2312"/>
        </w:rPr>
        <w:t>2、拟派项目负责人资质和专业要求。：证书等级：二级（含二级）以上注册建造师资格 专业：水利水电工程专业 补充说明：具有水利行政主管部门颁发的安全生产考核合格证，在本单位注册且无在建工程（提供无在建工程承诺书）。</w:t>
      </w:r>
    </w:p>
    <w:p>
      <w:pPr>
        <w:pStyle w:val="null3"/>
      </w:pPr>
      <w:r>
        <w:rPr>
          <w:rFonts w:ascii="仿宋_GB2312" w:hAnsi="仿宋_GB2312" w:cs="仿宋_GB2312" w:eastAsia="仿宋_GB2312"/>
        </w:rPr>
        <w:t>3、书面声明：具备履行合同所必须的设备和专业技术能力的书面声明。</w:t>
      </w:r>
    </w:p>
    <w:p>
      <w:pPr>
        <w:pStyle w:val="null3"/>
      </w:pPr>
      <w:r>
        <w:rPr>
          <w:rFonts w:ascii="仿宋_GB2312" w:hAnsi="仿宋_GB2312" w:cs="仿宋_GB2312" w:eastAsia="仿宋_GB2312"/>
        </w:rPr>
        <w:t>4、信用查询：供应商不得为“信用中国”网站（www.creditchina.gov.cn）中列入失信被执行人和重大税收违法失信主体名单的供应商，不得为中国政府采购网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5、无重大违法记录声明：参加政府采购活动前三年内，在经营活动中没有重大违法记录的书面声明。</w:t>
      </w:r>
    </w:p>
    <w:p>
      <w:pPr>
        <w:pStyle w:val="null3"/>
      </w:pPr>
      <w:r>
        <w:rPr>
          <w:rFonts w:ascii="仿宋_GB2312" w:hAnsi="仿宋_GB2312" w:cs="仿宋_GB2312" w:eastAsia="仿宋_GB2312"/>
        </w:rPr>
        <w:t>6、授权委托：法定代表人授权书（附法定代表人及被授权人身份证复印件）及被授权人身份证（法定代表人直接参加投标只需提供身份证）。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西安市长安区大峪灌区管理站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西安市长安区引镇街办北新街一号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13384936946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13636805255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采购包1：391,232.29元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代理服务费收费标准：费用以项目工程维修养护其他费用预算表中招标代理费为准，在项目竣工验收后由采购单位一次性支付给代理机构。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西安市长安区大峪灌区管理站</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西安市长安区大峪灌区管理站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西安市长安区大峪灌区管理站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联系电话：13636805255</w:t>
      </w:r>
    </w:p>
    <w:p>
      <w:pPr>
        <w:pStyle w:val="null3"/>
      </w:pPr>
      <w:r>
        <w:rPr>
          <w:rFonts w:ascii="仿宋_GB2312" w:hAnsi="仿宋_GB2312" w:cs="仿宋_GB2312" w:eastAsia="仿宋_GB2312"/>
        </w:rPr>
        <w:t>地址：西安市国家民用航天产业基地神舟五路与东长安街交汇处东南角航天城中心广场1号楼708室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391,232.29</w:t>
      </w:r>
    </w:p>
    <w:p>
      <w:pPr>
        <w:pStyle w:val="null3"/>
      </w:pPr>
      <w:r>
        <w:rPr>
          <w:rFonts w:ascii="仿宋_GB2312" w:hAnsi="仿宋_GB2312" w:cs="仿宋_GB2312" w:eastAsia="仿宋_GB2312"/>
        </w:rPr>
        <w:t>采购包最高限价（元）: 391,232.29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2024年第二批市级水利发展建设专项资金长安区小型水库维修养护项目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391,232.29</w:t>
            </w:r>
          </w:p>
        </w:tc>
        <w:tc>
          <w:tcPr>
            <w:tcW w:type="dxa" w:w="1384"/>
          </w:tcPr>
          <w:p>
            <w:pPr>
              <w:pStyle w:val="null3"/>
            </w:pPr>
            <w:r>
              <w:rPr>
                <w:rFonts w:ascii="仿宋_GB2312" w:hAnsi="仿宋_GB2312" w:cs="仿宋_GB2312" w:eastAsia="仿宋_GB2312"/>
              </w:rPr>
              <w:t>项目</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标的名称：2024年第二批市级水利发展建设专项资金长安区小型水库维修养护项目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jc w:val="both"/>
            </w:pPr>
            <w:r>
              <w:rPr>
                <w:rFonts w:ascii="仿宋_GB2312" w:hAnsi="仿宋_GB2312" w:cs="仿宋_GB2312" w:eastAsia="仿宋_GB2312"/>
                <w:sz w:val="20"/>
                <w:b/>
              </w:rPr>
              <w:t>一、项目概况</w:t>
            </w:r>
          </w:p>
          <w:p>
            <w:pPr>
              <w:pStyle w:val="null3"/>
              <w:ind w:firstLine="200"/>
              <w:jc w:val="both"/>
            </w:pPr>
            <w:r>
              <w:rPr>
                <w:rFonts w:ascii="仿宋_GB2312" w:hAnsi="仿宋_GB2312" w:cs="仿宋_GB2312" w:eastAsia="仿宋_GB2312"/>
                <w:sz w:val="20"/>
              </w:rPr>
              <w:t>本工程主要任务是对长安区大峪水库、东沟水库、许家沟水库、小峪水库、翠华山水库</w:t>
            </w:r>
            <w:r>
              <w:rPr>
                <w:rFonts w:ascii="仿宋_GB2312" w:hAnsi="仿宋_GB2312" w:cs="仿宋_GB2312" w:eastAsia="仿宋_GB2312"/>
                <w:sz w:val="20"/>
              </w:rPr>
              <w:t>5座小(1)型，正岔水库、塔盘沟水库、东沟二号水库、三合一水库、子午峪水库、黄峪寺水库、清水河水库7座小(2)型水库日常运行出现的问题进行维修和养护，确保库区行洪安全，保证库区内放水设施的正常启停，保障水库的正常安全运行。</w:t>
            </w:r>
          </w:p>
          <w:p>
            <w:pPr>
              <w:pStyle w:val="null3"/>
              <w:jc w:val="both"/>
            </w:pPr>
            <w:r>
              <w:rPr>
                <w:rFonts w:ascii="仿宋_GB2312" w:hAnsi="仿宋_GB2312" w:cs="仿宋_GB2312" w:eastAsia="仿宋_GB2312"/>
                <w:sz w:val="20"/>
                <w:b/>
              </w:rPr>
              <w:t>二、工程内容和施工地点、计划工期、缺陷责任期、质量保修期</w:t>
            </w:r>
          </w:p>
          <w:p>
            <w:pPr>
              <w:pStyle w:val="null3"/>
            </w:pPr>
            <w:r>
              <w:rPr>
                <w:rFonts w:ascii="仿宋_GB2312" w:hAnsi="仿宋_GB2312" w:cs="仿宋_GB2312" w:eastAsia="仿宋_GB2312"/>
                <w:sz w:val="20"/>
              </w:rPr>
              <w:t>（一）工程内容：工程量清单包含所有内容</w:t>
            </w:r>
          </w:p>
          <w:p>
            <w:pPr>
              <w:pStyle w:val="null3"/>
            </w:pPr>
            <w:r>
              <w:rPr>
                <w:rFonts w:ascii="仿宋_GB2312" w:hAnsi="仿宋_GB2312" w:cs="仿宋_GB2312" w:eastAsia="仿宋_GB2312"/>
                <w:sz w:val="20"/>
              </w:rPr>
              <w:t>（二）工程地点：位于陕西省西安市长安区</w:t>
            </w:r>
          </w:p>
          <w:p>
            <w:pPr>
              <w:pStyle w:val="null3"/>
            </w:pPr>
            <w:r>
              <w:rPr>
                <w:rFonts w:ascii="仿宋_GB2312" w:hAnsi="仿宋_GB2312" w:cs="仿宋_GB2312" w:eastAsia="仿宋_GB2312"/>
                <w:sz w:val="20"/>
              </w:rPr>
              <w:t>（三）</w:t>
            </w:r>
            <w:r>
              <w:rPr>
                <w:rFonts w:ascii="仿宋_GB2312" w:hAnsi="仿宋_GB2312" w:cs="仿宋_GB2312" w:eastAsia="仿宋_GB2312"/>
                <w:sz w:val="20"/>
              </w:rPr>
              <w:t>计划工期：</w:t>
            </w:r>
            <w:r>
              <w:rPr>
                <w:rFonts w:ascii="仿宋_GB2312" w:hAnsi="仿宋_GB2312" w:cs="仿宋_GB2312" w:eastAsia="仿宋_GB2312"/>
                <w:sz w:val="20"/>
              </w:rPr>
              <w:t>30</w:t>
            </w:r>
            <w:r>
              <w:rPr>
                <w:rFonts w:ascii="仿宋_GB2312" w:hAnsi="仿宋_GB2312" w:cs="仿宋_GB2312" w:eastAsia="仿宋_GB2312"/>
                <w:sz w:val="20"/>
              </w:rPr>
              <w:t>日历天</w:t>
            </w:r>
          </w:p>
          <w:p>
            <w:pPr>
              <w:pStyle w:val="null3"/>
            </w:pPr>
            <w:r>
              <w:rPr>
                <w:rFonts w:ascii="仿宋_GB2312" w:hAnsi="仿宋_GB2312" w:cs="仿宋_GB2312" w:eastAsia="仿宋_GB2312"/>
                <w:sz w:val="20"/>
              </w:rPr>
              <w:t>（四）工程质量：质量达到合格标准，并满足国家相关标准、规范及有关技术文件要求</w:t>
            </w:r>
          </w:p>
          <w:p>
            <w:pPr>
              <w:pStyle w:val="null3"/>
              <w:jc w:val="both"/>
            </w:pPr>
            <w:r>
              <w:rPr>
                <w:rFonts w:ascii="仿宋_GB2312" w:hAnsi="仿宋_GB2312" w:cs="仿宋_GB2312" w:eastAsia="仿宋_GB2312"/>
                <w:sz w:val="20"/>
              </w:rPr>
              <w:t>（五）质量保修期：一年</w:t>
            </w:r>
          </w:p>
          <w:p>
            <w:pPr>
              <w:pStyle w:val="null3"/>
              <w:jc w:val="both"/>
            </w:pPr>
            <w:r>
              <w:rPr>
                <w:rFonts w:ascii="仿宋_GB2312" w:hAnsi="仿宋_GB2312" w:cs="仿宋_GB2312" w:eastAsia="仿宋_GB2312"/>
                <w:sz w:val="20"/>
                <w:b/>
              </w:rPr>
              <w:t>三、详见附件工程量清单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一、编制依据 1、建设单位提供的《2024年第二批市级水利发展建设专项资金长安区小型水库维修养护项目实施方案》； 2、执行陕水防发[2023]30号“关于印发《陕西省小型水库维修养护定额标准（实行）》的通知”、陕水规计发[2019]66号文颁发的《陕西省水利建筑工程预算定额》等计价依据的批复； 3、人工预算单价按陕发改项目[2017]1606号《关于陕西省水利工程设计概（估）算编制规定》计算，技工工资单价75.00元/工日，普工50.00元/工日； 4、工程量依据设计提供工程量计入； 5、本次暂列金额按总价的5%计入； 6、材料价格依据2025年5月份《陕西省工程造价信息》计入； 二、其他说明 1、限价中变压器转换开关计低压线路迁移、放水塔通气孔除锈刷漆、屋面检修、分水坝屋面防水等四项暂无具体做法，工程量也无法确定，以暂定价计入，结算时以现场实际做法及工程量计算。 2、本次限价采用易投软件编制。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满足国家及行业的相关规定。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供应商须具备建设行政部门核发的水利水电工程施工总承包三级（含三级）以上资质，并且具有有效的安全生产许可证。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证书等级：二级（含二级）以上注册建造师资格 专业：水利水电工程专业 补充说明：具有水利行政主管部门颁发的安全生产考核合格证，在本单位注册且无在建工程（提供无在建工程承诺书）。</w:t>
            </w:r>
          </w:p>
        </w:tc>
        <w:tc>
          <w:tcPr>
            <w:tcW w:type="dxa" w:w="1661"/>
          </w:tcPr>
          <w:p>
            <w:pPr>
              <w:pStyle w:val="null3"/>
            </w:pPr>
            <w:r>
              <w:rPr>
                <w:rFonts w:ascii="仿宋_GB2312" w:hAnsi="仿宋_GB2312" w:cs="仿宋_GB2312" w:eastAsia="仿宋_GB2312"/>
              </w:rPr>
              <w:t>项目管理机构组成表 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法定代表人授权书（附法定代表人及被授权人身份证复印件）及被授权人身份证（法定代表人直接参加投标只需提供身份证）。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已标价工程量清单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满足本磋商文件中的实质性条款（工期、工程质量、建设地点）要求的。</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方案合理、技术措施得当计[4-7]分；方案基本合理、技术措施一般计[0-3.9]分，此项共计7分。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确保工程质量的技术组织措施：质量管理体系完善，技术组织措施合理、可行计[4-7]分；质量管理体系较完善、技术组织措施一般，不够明确计[0-3.9]分，此项共计7分。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确保安全生产的技术组织措施：安全管理体系健全，保证措施合理、可行计[4-7]分；安全管理体系较健全，保障措施一般计[0-3.9]分,此项共计7分。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文明施工、环境保护措施、施工现场扬尘污染防治措施：各项措施合理、保障有力计[3-6]分；各项措施一般计[0-2.9]分,此项共计6分。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具有明确的施工进度表，进度计划合理、保证措施有力计[4-7]分；施工进度计划不清晰、措施一般计[0-3.9]分,此项共计7分。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施工现场机械配备和材料投入计划合理，符合施工实际需求计[4-7]分；施工机械配备和材料投入计划一般，基本符合施工实际需求的计[0-3.9]分,此项共计7分。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项目组织管理机构人员配置齐全（项目经理、技术负责人、施工人员等），各专业配备合理、分工及岗位职责清晰计[3-6]分；人员配置一般，分工基本明确，职责不够清晰计[0-2.9]分,此项共计6分。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关系协调方案和保证措施</w:t>
            </w:r>
          </w:p>
        </w:tc>
        <w:tc>
          <w:tcPr>
            <w:tcW w:type="dxa" w:w="2492"/>
          </w:tcPr>
          <w:p>
            <w:pPr>
              <w:pStyle w:val="null3"/>
            </w:pPr>
            <w:r>
              <w:rPr>
                <w:rFonts w:ascii="仿宋_GB2312" w:hAnsi="仿宋_GB2312" w:cs="仿宋_GB2312" w:eastAsia="仿宋_GB2312"/>
              </w:rPr>
              <w:t>项目实施过程中周边关系协调方案和保证措施合理，可行性高计[3-6]分，方案一般、措施不完备计[0-2.9]分,此项共计6分。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各项建议合理、可行，方法得当计[3-6]分；合理化建议可行性一般、方法较少计[0-2.9]分,此项共计6分。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针对本项目编制突发事件的应急措施和解决方案，依照方案编制情况计[0-5]分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供应商2022年8月1日至磋商截止日期前，具有类似工程项目（水利工程施工）业绩，提供一份得2分，此项共计6分，业绩评审以合同或中标通知书为依据。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1.经初审合格的投标文件，其投标报价为有效投标报价。 2.满足招标文件实质性要求且最终报价最低的供应商的价格为投标基准价，其价格分为满分30分。 3.投标报价得分=（投标基准价/投标报价）×30的公式计算得分。 4.投标报价不完整的，不进入评标标准价的计算，本项得0分。 5.经评委一致认定，供应商的投标最终总报价低于公认市场成本，或超过最高限价,其投标将被拒绝。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详见附件：施工组织设计方案.docx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