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版本号：ZC2025-FW-10120250702001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长安区2025年秋季及2026年春季学期营养改善计划-早餐项目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ZC2025-FW-101</w:t>
      </w:r>
      <w:r>
        <w:br/>
      </w:r>
      <w:r>
        <w:br/>
      </w:r>
      <w:r>
        <w:br/>
      </w:r>
    </w:p>
    <w:p>
      <w:pPr>
        <w:pStyle w:val="null3"/>
        <w:jc w:val="center"/>
        <w:outlineLvl w:val="2"/>
      </w:pPr>
      <w:r>
        <w:rPr>
          <w:rFonts w:ascii="仿宋_GB2312" w:hAnsi="仿宋_GB2312" w:cs="仿宋_GB2312" w:eastAsia="仿宋_GB2312"/>
          <w:sz w:val="28"/>
          <w:b/>
        </w:rPr>
        <w:t>西安市长安区学生资助管理中心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西安市长安区学生资助管理中心</w:t>
      </w:r>
      <w:r>
        <w:rPr>
          <w:rFonts w:ascii="仿宋_GB2312" w:hAnsi="仿宋_GB2312" w:cs="仿宋_GB2312" w:eastAsia="仿宋_GB2312"/>
        </w:rPr>
        <w:t>委托，拟对</w:t>
      </w:r>
      <w:r>
        <w:rPr>
          <w:rFonts w:ascii="仿宋_GB2312" w:hAnsi="仿宋_GB2312" w:cs="仿宋_GB2312" w:eastAsia="仿宋_GB2312"/>
        </w:rPr>
        <w:t>长安区2025年秋季及2026年春季学期营养改善计划-早餐项目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ZC2025-FW-101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长安区2025年秋季及2026年春季学期营养改善计划-早餐项目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长安区2025年秋季及2026年春季学期营养改善计划-早餐项目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2023年度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6、书面承诺：提供具有履行本合同所必需的设备和专业技术能力的声明、无食品安全事故的书面承诺及参加采购活动前3年内在经营活动中没有重大违法记录的书面承诺</w:t>
      </w:r>
    </w:p>
    <w:p>
      <w:pPr>
        <w:pStyle w:val="null3"/>
      </w:pPr>
      <w:r>
        <w:rPr>
          <w:rFonts w:ascii="仿宋_GB2312" w:hAnsi="仿宋_GB2312" w:cs="仿宋_GB2312" w:eastAsia="仿宋_GB2312"/>
        </w:rPr>
        <w:t>7、食品相关许可证：投标人为生产厂家的须具备《食品生产许可证》及《食品经营许可证》；投标人为代理商的须具备《食品流通许可证》或《食品经营许可证》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西安市长安区学生资助管理中心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长安区教育局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西安市长安区学生资助管理中心经办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029-89057203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陕西省西安市高新区高新三路9号新时代大厦西4层406-408室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19591104240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代理服务费收费标准：本项目收取代理服务费 代理服务费用收取对象：中标/成交供应商 代理 服务费收费标准： 1.代理服务费以采购项目的中标（成交）金额作为收费基数，按照国家计委（计价格【2002】1980号）《招标代理服务收费管理暂行办法》规定的货物类收费标准收取。由成交供应商向采购代理机构一次性支付，具体收费金额以采购结果公示为准。 2.成交单位在领取成交通知书前，须向采购代理机构一次性支付采购代理服务费。 3.代理费缴存账户：陕西中采项目管理有限公司；开户银行：招商银行股份有限公司西安分行营业部；银行账号：129911536210906。注：代理服务费不足陆仟元整按陆仟元整收取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西安市长安区学生资助管理中心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西安市长安区学生资助管理中心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西安市长安区学生资助管理中心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联系人：杨婷婷</w:t>
      </w:r>
    </w:p>
    <w:p>
      <w:pPr>
        <w:pStyle w:val="null3"/>
      </w:pPr>
      <w:r>
        <w:rPr>
          <w:rFonts w:ascii="仿宋_GB2312" w:hAnsi="仿宋_GB2312" w:cs="仿宋_GB2312" w:eastAsia="仿宋_GB2312"/>
        </w:rPr>
        <w:t>联系电话：19591104240</w:t>
      </w:r>
    </w:p>
    <w:p>
      <w:pPr>
        <w:pStyle w:val="null3"/>
      </w:pPr>
      <w:r>
        <w:rPr>
          <w:rFonts w:ascii="仿宋_GB2312" w:hAnsi="仿宋_GB2312" w:cs="仿宋_GB2312" w:eastAsia="仿宋_GB2312"/>
        </w:rPr>
        <w:t>地址：陕西省西安市高新区高新三路9号新时代大厦西4层406-408室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长安区2025年秋季及2026年春季学期营养改善计划-早餐项目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1,070,000.00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长安区2025年秋季及2026年春季学期营养改善计划-早餐项目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标的名称：长安区2025年秋季及2026年春季学期营养改善计划-早餐项目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outlineLvl w:val="2"/>
            </w:pPr>
            <w:r>
              <w:rPr>
                <w:rFonts w:ascii="仿宋_GB2312" w:hAnsi="仿宋_GB2312" w:cs="仿宋_GB2312" w:eastAsia="仿宋_GB2312"/>
                <w:sz w:val="24"/>
                <w:b/>
              </w:rPr>
              <w:t>（一）货物需求及服务要求</w:t>
            </w:r>
          </w:p>
          <w:p>
            <w:pPr>
              <w:pStyle w:val="null3"/>
              <w:ind w:firstLine="480"/>
              <w:jc w:val="both"/>
            </w:pPr>
            <w:r>
              <w:rPr>
                <w:rFonts w:ascii="仿宋_GB2312" w:hAnsi="仿宋_GB2312" w:cs="仿宋_GB2312" w:eastAsia="仿宋_GB2312"/>
                <w:sz w:val="24"/>
              </w:rPr>
              <w:t>★1.投标产品必须符合国家食品卫生安全标准，投标供应商应遵守有关的国家法律、法令、条例和政府采购法规，承担相关法律责任；因涉及食品类产品，必须满足采购人保质、保鲜、就近配送条件；</w:t>
            </w:r>
          </w:p>
          <w:p>
            <w:pPr>
              <w:pStyle w:val="null3"/>
              <w:ind w:firstLine="480"/>
              <w:jc w:val="both"/>
            </w:pPr>
            <w:r>
              <w:rPr>
                <w:rFonts w:ascii="仿宋_GB2312" w:hAnsi="仿宋_GB2312" w:cs="仿宋_GB2312" w:eastAsia="仿宋_GB2312"/>
                <w:sz w:val="24"/>
              </w:rPr>
              <w:t>2. 营养餐由中标供应商提供环保餐盒，餐盒要达到相关卫生要求。</w:t>
            </w:r>
          </w:p>
          <w:p>
            <w:pPr>
              <w:pStyle w:val="null3"/>
              <w:ind w:firstLine="480"/>
              <w:jc w:val="both"/>
            </w:pPr>
            <w:r>
              <w:rPr>
                <w:rFonts w:ascii="仿宋_GB2312" w:hAnsi="仿宋_GB2312" w:cs="仿宋_GB2312" w:eastAsia="仿宋_GB2312"/>
                <w:sz w:val="24"/>
              </w:rPr>
              <w:t>3. 学校有特殊安排的，按照学校安排执行。</w:t>
            </w:r>
          </w:p>
          <w:p>
            <w:pPr>
              <w:pStyle w:val="null3"/>
              <w:ind w:firstLine="480"/>
              <w:jc w:val="both"/>
            </w:pPr>
            <w:r>
              <w:rPr>
                <w:rFonts w:ascii="仿宋_GB2312" w:hAnsi="仿宋_GB2312" w:cs="仿宋_GB2312" w:eastAsia="仿宋_GB2312"/>
                <w:sz w:val="24"/>
              </w:rPr>
              <w:t>4. 如果中标供应商在履行合同过程中，出现重大产品质量问题或配送不及时等问题，采购人可单方面终止合同，并要求中标供应商赔偿采购人的相应损失。</w:t>
            </w:r>
          </w:p>
          <w:p>
            <w:pPr>
              <w:pStyle w:val="null3"/>
              <w:ind w:firstLine="480"/>
              <w:jc w:val="both"/>
            </w:pPr>
            <w:r>
              <w:rPr>
                <w:rFonts w:ascii="仿宋_GB2312" w:hAnsi="仿宋_GB2312" w:cs="仿宋_GB2312" w:eastAsia="仿宋_GB2312"/>
                <w:sz w:val="24"/>
              </w:rPr>
              <w:t>5. 供货商早餐配送参照以下食谱。</w:t>
            </w:r>
          </w:p>
          <w:p>
            <w:pPr>
              <w:pStyle w:val="null3"/>
              <w:jc w:val="center"/>
            </w:pPr>
            <w:r>
              <w:rPr>
                <w:rFonts w:ascii="仿宋_GB2312" w:hAnsi="仿宋_GB2312" w:cs="仿宋_GB2312" w:eastAsia="仿宋_GB2312"/>
                <w:sz w:val="28"/>
                <w:b/>
              </w:rPr>
              <w:t>西安市长安区学生营养早餐食谱</w:t>
            </w:r>
            <w:r>
              <w:rPr>
                <w:rFonts w:ascii="仿宋_GB2312" w:hAnsi="仿宋_GB2312" w:cs="仿宋_GB2312" w:eastAsia="仿宋_GB2312"/>
                <w:sz w:val="28"/>
                <w:b/>
              </w:rPr>
              <w:t>(</w:t>
            </w:r>
            <w:r>
              <w:rPr>
                <w:rFonts w:ascii="仿宋_GB2312" w:hAnsi="仿宋_GB2312" w:cs="仿宋_GB2312" w:eastAsia="仿宋_GB2312"/>
                <w:sz w:val="24"/>
              </w:rPr>
              <w:t>参照</w:t>
            </w:r>
            <w:r>
              <w:rPr>
                <w:rFonts w:ascii="仿宋_GB2312" w:hAnsi="仿宋_GB2312" w:cs="仿宋_GB2312" w:eastAsia="仿宋_GB2312"/>
                <w:sz w:val="28"/>
                <w:b/>
              </w:rPr>
              <w:t>)</w:t>
            </w:r>
          </w:p>
          <w:tbl>
            <w:tblPr>
              <w:tblInd w:type="dxa" w:w="90"/>
              <w:tblBorders>
                <w:top w:val="none" w:color="000000" w:sz="4"/>
                <w:left w:val="none" w:color="000000" w:sz="4"/>
                <w:bottom w:val="none" w:color="000000" w:sz="4"/>
                <w:right w:val="none" w:color="000000" w:sz="4"/>
                <w:insideH w:val="none"/>
                <w:insideV w:val="none"/>
              </w:tblBorders>
            </w:tblPr>
            <w:tblGrid>
              <w:gridCol w:w="274"/>
              <w:gridCol w:w="2034"/>
              <w:gridCol w:w="235"/>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星期</w:t>
                  </w:r>
                </w:p>
              </w:tc>
              <w:tc>
                <w:tcPr>
                  <w:tcW w:type="dxa" w:w="2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重量</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星期一</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什锦素包（菌菇素包、包菜木耳素包、韭菜地软包、香干鸡蛋素包）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时令水果（皇帝蕉、库尔勒香梨、青枣、沃柑等）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牛奶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200g</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星期二</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荷叶饼（夹馍酱</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、香菇丝、狮子头、肉饼、小酥肉）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卤鸡蛋或卤鹌鹑蛋</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油茶</w:t>
                  </w:r>
                  <w:r>
                    <w:rPr>
                      <w:rFonts w:ascii="仿宋_GB2312" w:hAnsi="仿宋_GB2312" w:cs="仿宋_GB2312" w:eastAsia="仿宋_GB2312"/>
                      <w:sz w:val="24"/>
                      <w:color w:val="000000"/>
                    </w:rPr>
                    <w:t>/</w:t>
                  </w:r>
                  <w:r>
                    <w:rPr>
                      <w:rFonts w:ascii="仿宋_GB2312" w:hAnsi="仿宋_GB2312" w:cs="仿宋_GB2312" w:eastAsia="仿宋_GB2312"/>
                      <w:sz w:val="24"/>
                      <w:color w:val="000000"/>
                    </w:rPr>
                    <w:t>枣沫糊</w:t>
                  </w:r>
                  <w:r>
                    <w:rPr>
                      <w:rFonts w:ascii="仿宋_GB2312" w:hAnsi="仿宋_GB2312" w:cs="仿宋_GB2312" w:eastAsia="仿宋_GB2312"/>
                      <w:sz w:val="24"/>
                      <w:color w:val="000000"/>
                    </w:rPr>
                    <w:t>/</w:t>
                  </w:r>
                  <w:r>
                    <w:rPr>
                      <w:rFonts w:ascii="仿宋_GB2312" w:hAnsi="仿宋_GB2312" w:cs="仿宋_GB2312" w:eastAsia="仿宋_GB2312"/>
                      <w:sz w:val="24"/>
                      <w:color w:val="000000"/>
                    </w:rPr>
                    <w:t>稀饭</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260g</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星期三</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精品肉包（卤汁肉包、酱香肉包、虾肉包、牛肉包、雪菜肉包）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红糖馒头、南瓜馒头、黑米馒头、奶香馒头、果仁花卷、芝麻花卷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140g</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星期四</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荷叶饼（夹馍酱</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、香菇丝、狮子头、肉饼、小酥肉）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卤鸡蛋或卤鹌鹑蛋</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米浆</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黑芝麻糊</w:t>
                  </w:r>
                  <w:r>
                    <w:rPr>
                      <w:rFonts w:ascii="仿宋_GB2312" w:hAnsi="仿宋_GB2312" w:cs="仿宋_GB2312" w:eastAsia="仿宋_GB2312"/>
                      <w:sz w:val="24"/>
                      <w:color w:val="000000"/>
                    </w:rPr>
                    <w:t>/</w:t>
                  </w:r>
                  <w:r>
                    <w:rPr>
                      <w:rFonts w:ascii="仿宋_GB2312" w:hAnsi="仿宋_GB2312" w:cs="仿宋_GB2312" w:eastAsia="仿宋_GB2312"/>
                      <w:sz w:val="24"/>
                      <w:color w:val="000000"/>
                    </w:rPr>
                    <w:t>稀饭</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260g</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星期五</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精品肉包（卤汁肉包、酱香肉包、虾肉包、牛肉包、雪菜肉包）</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时令水果（皇帝蕉、库尔勒香梨、青枣、沃柑等）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100g</w:t>
                  </w:r>
                </w:p>
              </w:tc>
            </w:tr>
            <w:tr>
              <w:tc>
                <w:tcPr>
                  <w:tcW w:type="dxa" w:w="274"/>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牛奶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200g</w:t>
                  </w:r>
                </w:p>
              </w:tc>
            </w:tr>
          </w:tbl>
          <w:p>
            <w:pPr>
              <w:pStyle w:val="null3"/>
              <w:spacing w:before="120" w:after="120"/>
              <w:jc w:val="both"/>
              <w:outlineLvl w:val="2"/>
            </w:pPr>
            <w:r>
              <w:rPr>
                <w:rFonts w:ascii="仿宋_GB2312" w:hAnsi="仿宋_GB2312" w:cs="仿宋_GB2312" w:eastAsia="仿宋_GB2312"/>
                <w:sz w:val="24"/>
                <w:b/>
              </w:rPr>
              <w:t>（二）配送要求</w:t>
            </w:r>
          </w:p>
          <w:p>
            <w:pPr>
              <w:pStyle w:val="null3"/>
              <w:ind w:firstLine="480"/>
              <w:jc w:val="both"/>
            </w:pPr>
            <w:r>
              <w:rPr>
                <w:rFonts w:ascii="仿宋_GB2312" w:hAnsi="仿宋_GB2312" w:cs="仿宋_GB2312" w:eastAsia="仿宋_GB2312"/>
                <w:sz w:val="24"/>
              </w:rPr>
              <w:t>配送早餐内容须包含以上内容但不限于以上内容，投标供应商须根据采购人要求及自身情况提供口味类型多样化、搭配合理的早餐供学生食用。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每天每人的搭配类型三种，其中乳制品一周配送三次，鸡蛋一周配送二次，水果一周配送二次，水果必须经过消毒、清洗。投标时须提供一个月的配送食谱，实际配送时提前一周向配送学校提供下一周的配送食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早餐搭配要求营养均衡，提供符合生长发育需要的食品供学生享用。品种多样，以减少学生的厌食浪费现象。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每周按工作日配送，具体学校及时间以营养办通知为准，按时按质按量配送到采购人指定学校。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严格按照采购人要求配送到校，因运输装卸过程中造成的损耗（例如包装严重变形、破损，食品污损等），发现的破损、腐败变质等食品必须无条件更换，并承诺不附加任何费用。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保证食品送到后一小时内保温至适合学生进食。</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每次配送时，应含留样</w:t>
            </w:r>
            <w:r>
              <w:rPr>
                <w:rFonts w:ascii="仿宋_GB2312" w:hAnsi="仿宋_GB2312" w:cs="仿宋_GB2312" w:eastAsia="仿宋_GB2312"/>
                <w:sz w:val="24"/>
              </w:rPr>
              <w:t>2份。</w:t>
            </w:r>
          </w:p>
          <w:p>
            <w:pPr>
              <w:pStyle w:val="null3"/>
              <w:ind w:firstLine="482"/>
              <w:jc w:val="both"/>
            </w:pPr>
            <w:r>
              <w:rPr>
                <w:rFonts w:ascii="仿宋_GB2312" w:hAnsi="仿宋_GB2312" w:cs="仿宋_GB2312" w:eastAsia="仿宋_GB2312"/>
                <w:sz w:val="24"/>
                <w:b/>
              </w:rPr>
              <w:t>备注：</w:t>
            </w:r>
            <w:r>
              <w:rPr>
                <w:rFonts w:ascii="仿宋_GB2312" w:hAnsi="仿宋_GB2312" w:cs="仿宋_GB2312" w:eastAsia="仿宋_GB2312"/>
                <w:sz w:val="24"/>
                <w:b/>
              </w:rPr>
              <w:t>1.带有</w:t>
            </w:r>
            <w:r>
              <w:rPr>
                <w:rFonts w:ascii="仿宋_GB2312" w:hAnsi="仿宋_GB2312" w:cs="仿宋_GB2312" w:eastAsia="仿宋_GB2312"/>
                <w:sz w:val="24"/>
              </w:rPr>
              <w:t>★</w:t>
            </w:r>
            <w:r>
              <w:rPr>
                <w:rFonts w:ascii="仿宋_GB2312" w:hAnsi="仿宋_GB2312" w:cs="仿宋_GB2312" w:eastAsia="仿宋_GB2312"/>
                <w:sz w:val="24"/>
                <w:b/>
              </w:rPr>
              <w:t>号的技术参数为实质性条款不得有：负偏差；</w:t>
            </w:r>
          </w:p>
          <w:p>
            <w:pPr>
              <w:pStyle w:val="null3"/>
              <w:ind w:firstLine="1205"/>
              <w:jc w:val="both"/>
            </w:pPr>
            <w:r>
              <w:rPr>
                <w:rFonts w:ascii="仿宋_GB2312" w:hAnsi="仿宋_GB2312" w:cs="仿宋_GB2312" w:eastAsia="仿宋_GB2312"/>
                <w:sz w:val="24"/>
                <w:b/>
              </w:rPr>
              <w:t>2.以上提供数据为测算参考数据，不为最终供货、结算依据，实际数量按每学年实际配送量计算。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项目名称</w:t>
            </w:r>
            <w:r>
              <w:rPr>
                <w:rFonts w:ascii="仿宋_GB2312" w:hAnsi="仿宋_GB2312" w:cs="仿宋_GB2312" w:eastAsia="仿宋_GB2312"/>
                <w:sz w:val="24"/>
              </w:rPr>
              <w:t>：</w:t>
            </w:r>
            <w:r>
              <w:rPr>
                <w:rFonts w:ascii="仿宋_GB2312" w:hAnsi="仿宋_GB2312" w:cs="仿宋_GB2312" w:eastAsia="仿宋_GB2312"/>
                <w:sz w:val="24"/>
              </w:rPr>
              <w:t>长安区</w:t>
            </w:r>
            <w:r>
              <w:rPr>
                <w:rFonts w:ascii="仿宋_GB2312" w:hAnsi="仿宋_GB2312" w:cs="仿宋_GB2312" w:eastAsia="仿宋_GB2312"/>
                <w:sz w:val="24"/>
              </w:rPr>
              <w:t>2025年秋季及2026年春季学期营养改善计划-早餐项目；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供应期限</w:t>
            </w:r>
            <w:r>
              <w:rPr>
                <w:rFonts w:ascii="仿宋_GB2312" w:hAnsi="仿宋_GB2312" w:cs="仿宋_GB2312" w:eastAsia="仿宋_GB2312"/>
                <w:sz w:val="24"/>
              </w:rPr>
              <w:t>：</w:t>
            </w:r>
            <w:r>
              <w:rPr>
                <w:rFonts w:ascii="仿宋_GB2312" w:hAnsi="仿宋_GB2312" w:cs="仿宋_GB2312" w:eastAsia="仿宋_GB2312"/>
                <w:sz w:val="24"/>
              </w:rPr>
              <w:t>2025年9月1日—2026年7月5日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交货地点：</w:t>
            </w:r>
            <w:r>
              <w:rPr>
                <w:rFonts w:ascii="仿宋_GB2312" w:hAnsi="仿宋_GB2312" w:cs="仿宋_GB2312" w:eastAsia="仿宋_GB2312"/>
                <w:sz w:val="24"/>
                <w:shd w:fill="FFFFFF" w:val="clear"/>
              </w:rPr>
              <w:t>西安市长安区学生资助管理中心</w:t>
            </w:r>
            <w:r>
              <w:rPr>
                <w:rFonts w:ascii="仿宋_GB2312" w:hAnsi="仿宋_GB2312" w:cs="仿宋_GB2312" w:eastAsia="仿宋_GB2312"/>
                <w:sz w:val="24"/>
                <w:shd w:fill="FFFFFF" w:val="clear"/>
              </w:rPr>
              <w:t>指定地点；</w:t>
            </w:r>
          </w:p>
          <w:p>
            <w:pPr>
              <w:pStyle w:val="null3"/>
              <w:jc w:val="both"/>
            </w:pPr>
            <w:r>
              <w:rPr>
                <w:rFonts w:ascii="仿宋_GB2312" w:hAnsi="仿宋_GB2312" w:cs="仿宋_GB2312" w:eastAsia="仿宋_GB2312"/>
                <w:sz w:val="24"/>
              </w:rPr>
              <w:t>4.数量：早餐学生约936人，食用天数按照190天计算，全学年预算招标约为107万元；（注：实际资金按每学年实际配送量计算）</w:t>
            </w:r>
          </w:p>
          <w:p>
            <w:pPr>
              <w:pStyle w:val="null3"/>
              <w:jc w:val="both"/>
            </w:pPr>
            <w:r>
              <w:rPr>
                <w:rFonts w:ascii="仿宋_GB2312" w:hAnsi="仿宋_GB2312" w:cs="仿宋_GB2312" w:eastAsia="仿宋_GB2312"/>
                <w:sz w:val="24"/>
              </w:rPr>
              <w:t>5、技术要求：有相应生产资质，近年来无食品安全事故,社会形象度优良。</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、配送内容：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1）熟食：包子、荷叶饼夹馍、蛋糕、鸡蛋、油茶、稀饭等。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2）乳制品：牛奶、酸奶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3）时令水果：皇帝蕉、库尔勒香梨、青枣、沃柑等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2025年9月1日—2026 年7月5日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西安市长安区学生资助管理中心指定地点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验收合格后据实结算，按月支付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验收合格后据实结算，按月支付。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2.1如乙方事先未征得甲方同意并得到甲方的谅解而单方面延迟交货，将按违约终止合同。 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 3、违约终止合同：未按合同要求提供服务或不能满足技术要求，甲方会同监督机构有权终止合同，对乙方违约行为进行追究，同时按政府采购法的有关规定进行相应的处罚。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2.供应商需要在线提交所有通过电子化交易平台实施的政府采购项目的投标文件。 2.为顺利推进政府采购电子化交易平台应用工作，供应商需要在线提交所有通过电子化交易平台实施的政府采购项目的响应文件，中标供应商在结果公告发布5个工作日内提供纸质版文件2份。 递交文件地点：陕西省西安市高新区高新三路9号新时代大厦西4层406-408室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提供具有履行本合同所必需的设备和专业技术能力的声明、无食品安全事故的书面承诺及参加采购活动前3年内在经营活动中没有重大违法记录的书面承诺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食品相关许可证</w:t>
            </w:r>
          </w:p>
        </w:tc>
        <w:tc>
          <w:tcPr>
            <w:tcW w:type="dxa" w:w="3322"/>
          </w:tcPr>
          <w:p>
            <w:pPr>
              <w:pStyle w:val="null3"/>
            </w:pPr>
            <w:r>
              <w:rPr>
                <w:rFonts w:ascii="仿宋_GB2312" w:hAnsi="仿宋_GB2312" w:cs="仿宋_GB2312" w:eastAsia="仿宋_GB2312"/>
              </w:rPr>
              <w:t>投标人为生产厂家的须具备《食品生产许可证》及《食品经营许可证》；投标人为代理商的须具备《食品流通许可证》或《食品经营许可证》</w:t>
            </w:r>
          </w:p>
        </w:tc>
        <w:tc>
          <w:tcPr>
            <w:tcW w:type="dxa" w:w="1661"/>
          </w:tcPr>
          <w:p>
            <w:pPr>
              <w:pStyle w:val="null3"/>
            </w:pPr>
            <w:r>
              <w:rPr>
                <w:rFonts w:ascii="仿宋_GB2312" w:hAnsi="仿宋_GB2312" w:cs="仿宋_GB2312" w:eastAsia="仿宋_GB2312"/>
              </w:rPr>
              <w:t>供应商资质证明文件.docx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标的清单 投标文件封面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投标文件初审审查</w:t>
            </w:r>
          </w:p>
        </w:tc>
        <w:tc>
          <w:tcPr>
            <w:tcW w:type="dxa" w:w="3322"/>
          </w:tcPr>
          <w:p>
            <w:pPr>
              <w:pStyle w:val="null3"/>
            </w:pPr>
            <w:r>
              <w:rPr>
                <w:rFonts w:ascii="仿宋_GB2312" w:hAnsi="仿宋_GB2312" w:cs="仿宋_GB2312" w:eastAsia="仿宋_GB2312"/>
              </w:rPr>
              <w:t>依据招标文件规定，从投标文件的有效性、完整性和对招标文件的响应程度进行审查。出现下列情况之一者(但不限于)，不得进入最终报价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审核投标文件的技术指标是否满足采购要求，其中标★技术参数有一项不满足，不进入最终评审环节；(6)响应文件未实质性响应招标文件要求的:(7)不符合法律、法规和招标文件中规定的其他实质性要求的。</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整体服务方案满足采购人需求，符合本项目特点，方案详细完整（包含但不限于管理制度、运行模式、项目人员配备（附健康证及检验人员证）、岗位职责分工等）。 整体服务方案详尽、完善、可行计（6-8）分 整体服务方案基本完善、可行计（3-5.9）分 整体服务方案不完整、可行性差计(0-2.9）分。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食品配送方案及运输车辆配备</w:t>
            </w:r>
          </w:p>
        </w:tc>
        <w:tc>
          <w:tcPr>
            <w:tcW w:type="dxa" w:w="2492"/>
          </w:tcPr>
          <w:p>
            <w:pPr>
              <w:pStyle w:val="null3"/>
            </w:pPr>
            <w:r>
              <w:rPr>
                <w:rFonts w:ascii="仿宋_GB2312" w:hAnsi="仿宋_GB2312" w:cs="仿宋_GB2312" w:eastAsia="仿宋_GB2312"/>
              </w:rPr>
              <w:t>食品配送方案及运输车辆配备情况，包括但不限于车辆类型、数量、用途、配置说明、保温保鲜条件、使用年限、车况等，提供车辆证明材料。 食品配送方案及运输车辆配备科学合理计（6-8）分 食品配送方案及运输车辆配备基本合理计（3-5.9）分 食品配送方案及运输车辆配备不合理计(0-2.9）分。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食品材料仓储能力</w:t>
            </w:r>
          </w:p>
        </w:tc>
        <w:tc>
          <w:tcPr>
            <w:tcW w:type="dxa" w:w="2492"/>
          </w:tcPr>
          <w:p>
            <w:pPr>
              <w:pStyle w:val="null3"/>
            </w:pPr>
            <w:r>
              <w:rPr>
                <w:rFonts w:ascii="仿宋_GB2312" w:hAnsi="仿宋_GB2312" w:cs="仿宋_GB2312" w:eastAsia="仿宋_GB2312"/>
              </w:rPr>
              <w:t>食品材料仓储能力满足本项目需求，包括但不限于配送车间、保鲜仓库、冷藏仓库等仓储面积、仓储设备、各种设施条件等，提供库房合同和仓储设备证明材料等，附场地彩图。 食品原材料仓储能力满足本项目需求，证明材料详尽计（6-8）分 食品原材料仓储能力基本满足本项目需求，证明材料完善计（3-5.9）分 食品原材料仓储能力不能满足本项目需求，证明材料缺失计(0-2.9）分。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食品质量控制方案和保证措施，包括但不限于原料来源、验收保管信息收集处理、产品检验及食品安全若未达标或未按时按量配送等问题的保障措施和处罚办法等。 食品质量控制方案和保证措施科学、合理、可行计(6-8）分 食品质量控制方案和保证措施较科学、可行计(3-5.9）分 食品质量控制方案和保证措施不完善、可行差计(0-2.9）分。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供应商针对本项目的应急配送方案（包括但不限于针对采购人临时采购需求、恶劣天气影响、重大节假日或活动等特殊情况等制定应急处理方案）。 应急配送方案科学、合理、可行计（3-5）分 应急配送方案不完善、可行差计(0-2.9）分。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针对食品配送防护及若发生食物中毒或者其他潜在造成人员健康问题的安全事故的应急方案。 应急方案科学、合理、可行计（3-5）分 应急方案不完善、可行差计（0-2.9）分。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售后服务措施及承诺</w:t>
            </w:r>
          </w:p>
        </w:tc>
        <w:tc>
          <w:tcPr>
            <w:tcW w:type="dxa" w:w="2492"/>
          </w:tcPr>
          <w:p>
            <w:pPr>
              <w:pStyle w:val="null3"/>
            </w:pPr>
            <w:r>
              <w:rPr>
                <w:rFonts w:ascii="仿宋_GB2312" w:hAnsi="仿宋_GB2312" w:cs="仿宋_GB2312" w:eastAsia="仿宋_GB2312"/>
              </w:rPr>
              <w:t>售后服务条款具体、可行并有详细的售后服务措施及承诺。根据供应商的售后服务能力及服务方案、售后服务内容承诺、保证措施、配送时间、退换货方案、应急响应时间。 售后服务措施及承诺具体、可行、详细计（6-8）分 售后服务措施及承诺较具体、基本合理计（3-5.9）分 售后服务措施及承诺差、不完善、可行性差计(0-2.9）分。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产品及原材料来源</w:t>
            </w:r>
          </w:p>
        </w:tc>
        <w:tc>
          <w:tcPr>
            <w:tcW w:type="dxa" w:w="2492"/>
          </w:tcPr>
          <w:p>
            <w:pPr>
              <w:pStyle w:val="null3"/>
            </w:pPr>
            <w:r>
              <w:rPr>
                <w:rFonts w:ascii="仿宋_GB2312" w:hAnsi="仿宋_GB2312" w:cs="仿宋_GB2312" w:eastAsia="仿宋_GB2312"/>
              </w:rPr>
              <w:t>提供产品及原材料来源渠道合法的证明材料（销售协议、代理协议、原厂授权等），根据货源渠道的正规性、可靠性、稳定性等。 货源渠道正规、可靠、稳定计（3-5）分 货源渠道部正规、可靠性差计（0-2.9）分。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承诺近年（2020 年起算）来无食品安全质量事故发生的得2分，否则不计分。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供应商提出的针对本项目服务过程中有利于采购人和项目实施的合理化建议及其他增值服务，根据应答情况计0-3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供应商具有近三年（2022年1月至今，以合同签订时间为准）的类似项目业绩，每提供1个计2分，满分10分。 注：响应文件中提供合同关键页复印件加盖公章。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