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39C35">
      <w:pPr>
        <w:widowControl/>
        <w:spacing w:line="1100" w:lineRule="exact"/>
        <w:rPr>
          <w:rFonts w:ascii="宋体"/>
          <w:b/>
          <w:kern w:val="0"/>
          <w:sz w:val="32"/>
          <w:szCs w:val="32"/>
        </w:rPr>
      </w:pPr>
      <w:r>
        <w:rPr>
          <w:b/>
          <w:sz w:val="32"/>
          <w:szCs w:val="32"/>
        </w:rPr>
        <mc:AlternateContent>
          <mc:Choice Requires="wps">
            <w:drawing>
              <wp:anchor distT="0" distB="0" distL="114300" distR="114300" simplePos="0" relativeHeight="251659264" behindDoc="0" locked="0" layoutInCell="1" allowOverlap="1">
                <wp:simplePos x="0" y="0"/>
                <wp:positionH relativeFrom="column">
                  <wp:posOffset>4194810</wp:posOffset>
                </wp:positionH>
                <wp:positionV relativeFrom="paragraph">
                  <wp:posOffset>241300</wp:posOffset>
                </wp:positionV>
                <wp:extent cx="1201420" cy="483870"/>
                <wp:effectExtent l="4445" t="4445" r="13335" b="6985"/>
                <wp:wrapNone/>
                <wp:docPr id="1" name="文本框 1"/>
                <wp:cNvGraphicFramePr/>
                <a:graphic xmlns:a="http://schemas.openxmlformats.org/drawingml/2006/main">
                  <a:graphicData uri="http://schemas.microsoft.com/office/word/2010/wordprocessingShape">
                    <wps:wsp>
                      <wps:cNvSpPr txBox="1"/>
                      <wps:spPr>
                        <a:xfrm>
                          <a:off x="0" y="0"/>
                          <a:ext cx="1201420" cy="48387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4394C6A">
                            <w:pPr>
                              <w:ind w:firstLine="160" w:firstLineChars="50"/>
                              <w:rPr>
                                <w:rFonts w:ascii="黑体" w:hAnsi="黑体" w:eastAsia="黑体"/>
                                <w:sz w:val="32"/>
                                <w:szCs w:val="32"/>
                              </w:rPr>
                            </w:pPr>
                            <w:r>
                              <w:rPr>
                                <w:rFonts w:ascii="黑体" w:hAnsi="黑体" w:eastAsia="黑体"/>
                                <w:sz w:val="32"/>
                                <w:szCs w:val="32"/>
                              </w:rPr>
                              <w:t>公开招标</w:t>
                            </w:r>
                          </w:p>
                        </w:txbxContent>
                      </wps:txbx>
                      <wps:bodyPr upright="1"/>
                    </wps:wsp>
                  </a:graphicData>
                </a:graphic>
              </wp:anchor>
            </w:drawing>
          </mc:Choice>
          <mc:Fallback>
            <w:pict>
              <v:shape id="_x0000_s1026" o:spid="_x0000_s1026" o:spt="202" type="#_x0000_t202" style="position:absolute;left:0pt;margin-left:330.3pt;margin-top:19pt;height:38.1pt;width:94.6pt;z-index:251659264;mso-width-relative:page;mso-height-relative:page;" fillcolor="#FFFFFF" filled="t" stroked="t" coordsize="21600,21600" o:gfxdata="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G07ZCdgAAAAKAQAADwAAAAAAAAABACAAAAAi&#10;AAAAZHJzL2Rvd25yZXYueG1sUEsBAhQAFAAAAAgAh07iQDsDnEEKAgAANgQAAA4AAAAAAAAAAQAg&#10;AAAAJwEAAGRycy9lMm9Eb2MueG1sUEsFBgAAAAAGAAYAWQEAAKMFAAAAAA==&#10;">
                <v:fill on="t" focussize="0,0"/>
                <v:stroke color="#000000" joinstyle="miter"/>
                <v:imagedata o:title=""/>
                <o:lock v:ext="edit" aspectratio="f"/>
                <v:textbox>
                  <w:txbxContent>
                    <w:p w14:paraId="54394C6A">
                      <w:pPr>
                        <w:ind w:firstLine="160" w:firstLineChars="50"/>
                        <w:rPr>
                          <w:rFonts w:ascii="黑体" w:hAnsi="黑体" w:eastAsia="黑体"/>
                          <w:sz w:val="32"/>
                          <w:szCs w:val="32"/>
                        </w:rPr>
                      </w:pPr>
                      <w:r>
                        <w:rPr>
                          <w:rFonts w:ascii="黑体" w:hAnsi="黑体" w:eastAsia="黑体"/>
                          <w:sz w:val="32"/>
                          <w:szCs w:val="32"/>
                        </w:rPr>
                        <w:t>公开招标</w:t>
                      </w:r>
                    </w:p>
                  </w:txbxContent>
                </v:textbox>
              </v:shape>
            </w:pict>
          </mc:Fallback>
        </mc:AlternateContent>
      </w:r>
      <w:r>
        <w:rPr>
          <w:rFonts w:ascii="宋体"/>
          <w:b/>
          <w:kern w:val="0"/>
          <w:sz w:val="32"/>
          <w:szCs w:val="32"/>
        </w:rPr>
        <w:t>政府采购项目</w:t>
      </w:r>
      <w:r>
        <w:rPr>
          <w:rFonts w:hint="eastAsia" w:ascii="宋体"/>
          <w:b/>
          <w:kern w:val="0"/>
          <w:sz w:val="32"/>
          <w:szCs w:val="32"/>
        </w:rPr>
        <w:t xml:space="preserve">                 </w:t>
      </w:r>
    </w:p>
    <w:p w14:paraId="75FAA2D8">
      <w:pPr>
        <w:widowControl/>
        <w:tabs>
          <w:tab w:val="left" w:pos="7815"/>
        </w:tabs>
        <w:spacing w:line="1100" w:lineRule="exact"/>
        <w:ind w:left="-424" w:leftChars="-202" w:right="-197" w:rightChars="-94"/>
        <w:jc w:val="center"/>
        <w:rPr>
          <w:rFonts w:ascii="华文仿宋" w:hAnsi="华文仿宋" w:eastAsia="华文仿宋" w:cs="华文仿宋"/>
          <w:b/>
          <w:bCs/>
          <w:sz w:val="48"/>
          <w:szCs w:val="48"/>
        </w:rPr>
      </w:pPr>
    </w:p>
    <w:p w14:paraId="7041F3C5">
      <w:pPr>
        <w:widowControl/>
        <w:tabs>
          <w:tab w:val="left" w:pos="7815"/>
        </w:tabs>
        <w:spacing w:line="1100" w:lineRule="exact"/>
        <w:ind w:left="-424" w:leftChars="-202" w:right="-197" w:rightChars="-94"/>
        <w:jc w:val="center"/>
        <w:rPr>
          <w:rFonts w:hint="eastAsia" w:cs="华文仿宋" w:asciiTheme="majorEastAsia" w:hAnsiTheme="majorEastAsia" w:eastAsiaTheme="majorEastAsia"/>
          <w:b/>
          <w:bCs/>
          <w:sz w:val="36"/>
          <w:szCs w:val="36"/>
          <w:highlight w:val="none"/>
        </w:rPr>
      </w:pPr>
      <w:r>
        <w:rPr>
          <w:rFonts w:hint="eastAsia" w:cs="华文仿宋" w:asciiTheme="majorEastAsia" w:hAnsiTheme="majorEastAsia" w:eastAsiaTheme="majorEastAsia"/>
          <w:b/>
          <w:bCs/>
          <w:sz w:val="36"/>
          <w:szCs w:val="36"/>
          <w:highlight w:val="none"/>
        </w:rPr>
        <w:t>2025年长安区教育资源优化配置薄弱环节提升工程设备采购项目</w:t>
      </w:r>
    </w:p>
    <w:p w14:paraId="36C0DCF6">
      <w:pPr>
        <w:widowControl/>
        <w:tabs>
          <w:tab w:val="left" w:pos="7815"/>
        </w:tabs>
        <w:spacing w:line="1100" w:lineRule="exact"/>
        <w:ind w:left="-424" w:leftChars="-202" w:right="-197" w:rightChars="-94"/>
        <w:jc w:val="center"/>
        <w:rPr>
          <w:rFonts w:ascii="黑体" w:hAnsi="黑体" w:eastAsia="黑体"/>
          <w:b/>
          <w:bCs/>
          <w:kern w:val="0"/>
          <w:sz w:val="48"/>
          <w:szCs w:val="48"/>
        </w:rPr>
      </w:pPr>
      <w:r>
        <w:rPr>
          <w:rFonts w:hint="eastAsia" w:ascii="黑体" w:hAnsi="黑体" w:eastAsia="黑体" w:cs="宋体"/>
          <w:b/>
          <w:bCs/>
          <w:kern w:val="0"/>
          <w:sz w:val="48"/>
          <w:szCs w:val="48"/>
        </w:rPr>
        <w:t>供 货</w:t>
      </w:r>
      <w:r>
        <w:rPr>
          <w:rFonts w:ascii="黑体" w:hAnsi="黑体" w:eastAsia="黑体" w:cs="宋体"/>
          <w:b/>
          <w:bCs/>
          <w:kern w:val="0"/>
          <w:sz w:val="48"/>
          <w:szCs w:val="48"/>
        </w:rPr>
        <w:t xml:space="preserve"> </w:t>
      </w:r>
      <w:r>
        <w:rPr>
          <w:rFonts w:hint="eastAsia" w:ascii="黑体" w:hAnsi="黑体" w:eastAsia="黑体" w:cs="宋体"/>
          <w:b/>
          <w:bCs/>
          <w:kern w:val="0"/>
          <w:sz w:val="48"/>
          <w:szCs w:val="48"/>
        </w:rPr>
        <w:t>合</w:t>
      </w:r>
      <w:r>
        <w:rPr>
          <w:rFonts w:ascii="黑体" w:hAnsi="黑体" w:eastAsia="黑体" w:cs="宋体"/>
          <w:b/>
          <w:bCs/>
          <w:kern w:val="0"/>
          <w:sz w:val="48"/>
          <w:szCs w:val="48"/>
        </w:rPr>
        <w:t xml:space="preserve"> </w:t>
      </w:r>
      <w:r>
        <w:rPr>
          <w:rFonts w:hint="eastAsia" w:ascii="黑体" w:hAnsi="黑体" w:eastAsia="黑体" w:cs="宋体"/>
          <w:b/>
          <w:bCs/>
          <w:kern w:val="0"/>
          <w:sz w:val="48"/>
          <w:szCs w:val="48"/>
        </w:rPr>
        <w:t>同</w:t>
      </w:r>
    </w:p>
    <w:p w14:paraId="49105E0A">
      <w:pPr>
        <w:widowControl/>
        <w:spacing w:line="360" w:lineRule="auto"/>
        <w:jc w:val="center"/>
        <w:rPr>
          <w:rFonts w:asciiTheme="majorEastAsia" w:hAnsiTheme="majorEastAsia" w:eastAsiaTheme="majorEastAsia"/>
          <w:b/>
          <w:bCs/>
          <w:kern w:val="0"/>
          <w:sz w:val="36"/>
          <w:szCs w:val="36"/>
        </w:rPr>
      </w:pPr>
      <w:r>
        <w:rPr>
          <w:rFonts w:hint="eastAsia" w:asciiTheme="majorEastAsia" w:hAnsiTheme="majorEastAsia" w:eastAsiaTheme="majorEastAsia"/>
          <w:b/>
          <w:bCs/>
          <w:kern w:val="0"/>
          <w:sz w:val="36"/>
          <w:szCs w:val="36"/>
        </w:rPr>
        <w:t>（编号：</w:t>
      </w:r>
      <w:r>
        <w:rPr>
          <w:rFonts w:hint="eastAsia" w:asciiTheme="majorEastAsia" w:hAnsiTheme="majorEastAsia" w:eastAsiaTheme="majorEastAsia"/>
          <w:b/>
          <w:bCs/>
          <w:kern w:val="0"/>
          <w:sz w:val="36"/>
          <w:szCs w:val="36"/>
          <w:lang w:val="en-US" w:eastAsia="zh-CN"/>
        </w:rPr>
        <w:t xml:space="preserve">            </w:t>
      </w:r>
      <w:r>
        <w:rPr>
          <w:rFonts w:hint="eastAsia" w:asciiTheme="majorEastAsia" w:hAnsiTheme="majorEastAsia" w:eastAsiaTheme="majorEastAsia"/>
          <w:b/>
          <w:bCs/>
          <w:kern w:val="0"/>
          <w:sz w:val="36"/>
          <w:szCs w:val="36"/>
        </w:rPr>
        <w:t>）</w:t>
      </w:r>
    </w:p>
    <w:p w14:paraId="446539B7">
      <w:pPr>
        <w:widowControl/>
        <w:spacing w:line="360" w:lineRule="auto"/>
        <w:jc w:val="center"/>
        <w:rPr>
          <w:rFonts w:hint="eastAsia" w:asciiTheme="majorEastAsia" w:hAnsiTheme="majorEastAsia" w:eastAsiaTheme="majorEastAsia"/>
          <w:b/>
          <w:bCs/>
          <w:kern w:val="0"/>
          <w:sz w:val="36"/>
          <w:szCs w:val="36"/>
          <w:highlight w:val="none"/>
          <w:lang w:eastAsia="zh-CN"/>
        </w:rPr>
      </w:pPr>
      <w:r>
        <w:rPr>
          <w:rFonts w:hint="eastAsia" w:asciiTheme="majorEastAsia" w:hAnsiTheme="majorEastAsia" w:eastAsiaTheme="majorEastAsia"/>
          <w:b/>
          <w:bCs/>
          <w:kern w:val="0"/>
          <w:sz w:val="36"/>
          <w:szCs w:val="36"/>
          <w:highlight w:val="none"/>
        </w:rPr>
        <w:t xml:space="preserve">第 </w:t>
      </w:r>
      <w:r>
        <w:rPr>
          <w:rFonts w:asciiTheme="majorEastAsia" w:hAnsiTheme="majorEastAsia" w:eastAsiaTheme="majorEastAsia"/>
          <w:b/>
          <w:bCs/>
          <w:kern w:val="0"/>
          <w:sz w:val="36"/>
          <w:szCs w:val="36"/>
          <w:highlight w:val="none"/>
        </w:rPr>
        <w:t xml:space="preserve">   </w:t>
      </w:r>
      <w:r>
        <w:rPr>
          <w:rFonts w:hint="eastAsia" w:asciiTheme="majorEastAsia" w:hAnsiTheme="majorEastAsia" w:eastAsiaTheme="majorEastAsia"/>
          <w:b/>
          <w:bCs/>
          <w:kern w:val="0"/>
          <w:sz w:val="36"/>
          <w:szCs w:val="36"/>
          <w:highlight w:val="none"/>
          <w:lang w:val="en-US" w:eastAsia="zh-CN"/>
        </w:rPr>
        <w:t>包</w:t>
      </w:r>
    </w:p>
    <w:p w14:paraId="5A3AA28B">
      <w:pPr>
        <w:widowControl/>
        <w:spacing w:line="360" w:lineRule="auto"/>
        <w:rPr>
          <w:rFonts w:ascii="宋体"/>
          <w:b/>
          <w:bCs/>
          <w:kern w:val="0"/>
          <w:sz w:val="44"/>
          <w:szCs w:val="44"/>
        </w:rPr>
      </w:pPr>
    </w:p>
    <w:p w14:paraId="2AD230FE">
      <w:pPr>
        <w:widowControl/>
        <w:spacing w:line="360" w:lineRule="auto"/>
        <w:rPr>
          <w:rFonts w:ascii="宋体"/>
          <w:b/>
          <w:bCs/>
          <w:kern w:val="0"/>
          <w:sz w:val="32"/>
          <w:szCs w:val="32"/>
        </w:rPr>
      </w:pPr>
    </w:p>
    <w:p w14:paraId="1662BC83">
      <w:pPr>
        <w:widowControl/>
        <w:ind w:firstLine="2249" w:firstLineChars="700"/>
        <w:rPr>
          <w:rFonts w:ascii="宋体"/>
          <w:b/>
          <w:bCs/>
          <w:kern w:val="0"/>
          <w:sz w:val="32"/>
          <w:szCs w:val="32"/>
        </w:rPr>
      </w:pPr>
    </w:p>
    <w:p w14:paraId="081DD822">
      <w:pPr>
        <w:widowControl/>
        <w:rPr>
          <w:rFonts w:ascii="宋体" w:hAnsi="Calibri"/>
          <w:kern w:val="0"/>
          <w:sz w:val="34"/>
          <w:szCs w:val="34"/>
        </w:rPr>
      </w:pPr>
    </w:p>
    <w:p w14:paraId="394B1354">
      <w:pPr>
        <w:widowControl/>
        <w:rPr>
          <w:rFonts w:ascii="宋体" w:hAnsi="Calibri"/>
          <w:kern w:val="0"/>
          <w:sz w:val="34"/>
          <w:szCs w:val="34"/>
        </w:rPr>
      </w:pPr>
    </w:p>
    <w:p w14:paraId="36002A33">
      <w:pPr>
        <w:widowControl/>
        <w:rPr>
          <w:rFonts w:ascii="宋体" w:hAnsi="Calibri"/>
          <w:kern w:val="0"/>
          <w:sz w:val="34"/>
          <w:szCs w:val="34"/>
        </w:rPr>
      </w:pPr>
    </w:p>
    <w:p w14:paraId="331F9DEC">
      <w:pPr>
        <w:widowControl/>
        <w:rPr>
          <w:rFonts w:ascii="宋体" w:hAnsi="Calibri"/>
          <w:kern w:val="0"/>
          <w:sz w:val="34"/>
          <w:szCs w:val="34"/>
        </w:rPr>
      </w:pPr>
    </w:p>
    <w:p w14:paraId="05CA3E16">
      <w:pPr>
        <w:widowControl/>
        <w:spacing w:line="360" w:lineRule="auto"/>
        <w:jc w:val="center"/>
        <w:rPr>
          <w:rFonts w:ascii="宋体"/>
          <w:b/>
          <w:bCs/>
          <w:kern w:val="0"/>
          <w:sz w:val="32"/>
          <w:szCs w:val="32"/>
        </w:rPr>
      </w:pPr>
      <w:r>
        <w:rPr>
          <w:rFonts w:hint="eastAsia" w:ascii="宋体" w:hAnsi="宋体" w:cs="宋体"/>
          <w:b/>
          <w:bCs/>
          <w:kern w:val="0"/>
          <w:sz w:val="32"/>
          <w:szCs w:val="32"/>
          <w:lang w:val="en-US" w:eastAsia="zh-CN"/>
        </w:rPr>
        <w:t xml:space="preserve">  </w:t>
      </w:r>
      <w:r>
        <w:rPr>
          <w:rFonts w:hint="eastAsia" w:ascii="宋体" w:hAnsi="宋体" w:cs="宋体"/>
          <w:b/>
          <w:bCs/>
          <w:kern w:val="0"/>
          <w:sz w:val="32"/>
          <w:szCs w:val="32"/>
        </w:rPr>
        <w:t>甲方：   西安市长安区教育局</w:t>
      </w:r>
    </w:p>
    <w:p w14:paraId="297402D0">
      <w:pPr>
        <w:widowControl/>
        <w:spacing w:line="360" w:lineRule="auto"/>
        <w:ind w:firstLine="2570" w:firstLineChars="800"/>
        <w:jc w:val="both"/>
        <w:rPr>
          <w:rFonts w:ascii="宋体"/>
          <w:b/>
          <w:bCs/>
          <w:kern w:val="0"/>
          <w:sz w:val="32"/>
          <w:szCs w:val="32"/>
        </w:rPr>
      </w:pPr>
      <w:r>
        <w:rPr>
          <w:rFonts w:hint="eastAsia" w:ascii="宋体" w:hAnsi="宋体" w:cs="宋体"/>
          <w:b/>
          <w:bCs/>
          <w:kern w:val="0"/>
          <w:sz w:val="32"/>
          <w:szCs w:val="32"/>
        </w:rPr>
        <w:t>乙方：</w:t>
      </w:r>
    </w:p>
    <w:p w14:paraId="4247A5AE">
      <w:pPr>
        <w:widowControl/>
        <w:spacing w:line="360" w:lineRule="auto"/>
        <w:jc w:val="center"/>
        <w:rPr>
          <w:rFonts w:ascii="宋体"/>
          <w:b/>
          <w:bCs/>
          <w:kern w:val="0"/>
          <w:sz w:val="32"/>
          <w:szCs w:val="32"/>
        </w:rPr>
      </w:pPr>
      <w:r>
        <w:rPr>
          <w:rFonts w:hint="eastAsia" w:ascii="宋体"/>
          <w:b/>
          <w:bCs/>
          <w:kern w:val="0"/>
          <w:sz w:val="32"/>
          <w:szCs w:val="32"/>
        </w:rPr>
        <w:t>日期：    年     月   日</w:t>
      </w:r>
    </w:p>
    <w:p w14:paraId="6992F350">
      <w:pPr>
        <w:pStyle w:val="6"/>
        <w:spacing w:line="0" w:lineRule="atLeast"/>
        <w:rPr>
          <w:rFonts w:hint="eastAsia" w:cs="华文仿宋" w:asciiTheme="majorEastAsia" w:hAnsiTheme="majorEastAsia" w:eastAsiaTheme="majorEastAsia"/>
          <w:sz w:val="36"/>
          <w:szCs w:val="36"/>
          <w:highlight w:val="yellow"/>
        </w:rPr>
      </w:pPr>
    </w:p>
    <w:p w14:paraId="3AED3CDC">
      <w:pPr>
        <w:rPr>
          <w:rFonts w:hint="eastAsia"/>
        </w:rPr>
      </w:pPr>
    </w:p>
    <w:p w14:paraId="3DDA75E1">
      <w:pPr>
        <w:pStyle w:val="6"/>
        <w:spacing w:line="0" w:lineRule="atLeast"/>
        <w:rPr>
          <w:rFonts w:ascii="华文仿宋" w:hAnsi="华文仿宋" w:eastAsia="华文仿宋" w:cs="华文仿宋"/>
          <w:sz w:val="36"/>
          <w:szCs w:val="36"/>
        </w:rPr>
      </w:pPr>
      <w:r>
        <w:rPr>
          <w:rFonts w:hint="eastAsia" w:cs="华文仿宋" w:asciiTheme="majorEastAsia" w:hAnsiTheme="majorEastAsia" w:eastAsiaTheme="majorEastAsia"/>
          <w:sz w:val="36"/>
          <w:szCs w:val="36"/>
          <w:highlight w:val="none"/>
        </w:rPr>
        <w:t>XXXXXXXXXXXXX</w:t>
      </w:r>
      <w:r>
        <w:rPr>
          <w:rFonts w:hint="eastAsia" w:ascii="华文仿宋" w:hAnsi="华文仿宋" w:eastAsia="华文仿宋" w:cs="华文仿宋"/>
          <w:sz w:val="36"/>
          <w:szCs w:val="36"/>
        </w:rPr>
        <w:t>项目</w:t>
      </w:r>
    </w:p>
    <w:p w14:paraId="5DF7C2F6">
      <w:pPr>
        <w:pStyle w:val="6"/>
        <w:spacing w:line="0" w:lineRule="atLeast"/>
        <w:rPr>
          <w:rFonts w:ascii="黑体" w:hAnsi="黑体" w:eastAsia="黑体"/>
          <w:sz w:val="44"/>
          <w:szCs w:val="44"/>
        </w:rPr>
      </w:pPr>
      <w:r>
        <w:rPr>
          <w:rFonts w:hint="eastAsia" w:ascii="黑体" w:hAnsi="黑体" w:eastAsia="黑体" w:cs="华文仿宋"/>
          <w:sz w:val="44"/>
          <w:szCs w:val="44"/>
        </w:rPr>
        <w:t>采 购 合 同</w:t>
      </w:r>
    </w:p>
    <w:p w14:paraId="79563166">
      <w:pPr>
        <w:pStyle w:val="9"/>
        <w:ind w:firstLine="480"/>
      </w:pPr>
    </w:p>
    <w:p w14:paraId="6030F488">
      <w:pPr>
        <w:pStyle w:val="9"/>
        <w:ind w:firstLine="480"/>
        <w:rPr>
          <w:rFonts w:ascii="宋体"/>
          <w:sz w:val="21"/>
        </w:rPr>
      </w:pPr>
      <w:r>
        <w:rPr>
          <w:rFonts w:hint="eastAsia" w:ascii="宋体" w:hAnsi="宋体" w:cs="宋体"/>
        </w:rPr>
        <w:t>甲方：西安市长安区教育局</w:t>
      </w:r>
    </w:p>
    <w:p w14:paraId="019657B1">
      <w:pPr>
        <w:pStyle w:val="9"/>
        <w:ind w:firstLine="480"/>
        <w:rPr>
          <w:rFonts w:ascii="宋体"/>
        </w:rPr>
      </w:pPr>
      <w:r>
        <w:rPr>
          <w:rFonts w:hint="eastAsia" w:ascii="宋体" w:hAnsi="宋体" w:cs="宋体"/>
        </w:rPr>
        <w:t>乙方：</w:t>
      </w:r>
      <w:r>
        <w:rPr>
          <w:rFonts w:ascii="宋体"/>
        </w:rPr>
        <w:t xml:space="preserve"> </w:t>
      </w:r>
    </w:p>
    <w:p w14:paraId="53F8E05F">
      <w:pPr>
        <w:spacing w:line="400" w:lineRule="exact"/>
        <w:rPr>
          <w:rFonts w:ascii="宋体"/>
          <w:sz w:val="24"/>
          <w:szCs w:val="24"/>
        </w:rPr>
      </w:pPr>
    </w:p>
    <w:p w14:paraId="534108C3">
      <w:pPr>
        <w:pStyle w:val="9"/>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ascii="宋体"/>
        </w:rPr>
      </w:pPr>
      <w:r>
        <w:rPr>
          <w:rFonts w:hint="eastAsia" w:ascii="宋体" w:hAnsi="宋体" w:cs="宋体"/>
        </w:rPr>
        <w:t>在西安市长安区财政局的监督管理下，按照政府采购程序组织招标，确定乙方为2025年长安区教育资源优化配置薄弱环节提升工程设备采购项目</w:t>
      </w:r>
      <w:r>
        <w:rPr>
          <w:rFonts w:hint="eastAsia" w:cs="宋体"/>
          <w:highlight w:val="none"/>
        </w:rPr>
        <w:t xml:space="preserve">第 </w:t>
      </w:r>
      <w:r>
        <w:rPr>
          <w:rFonts w:cs="宋体"/>
          <w:highlight w:val="none"/>
        </w:rPr>
        <w:t xml:space="preserve">  </w:t>
      </w:r>
      <w:r>
        <w:rPr>
          <w:rFonts w:hint="eastAsia" w:cs="宋体"/>
          <w:highlight w:val="none"/>
          <w:lang w:val="en-US" w:eastAsia="zh-CN"/>
        </w:rPr>
        <w:t>包</w:t>
      </w:r>
      <w:r>
        <w:rPr>
          <w:rFonts w:hint="eastAsia" w:ascii="宋体" w:hAnsi="宋体" w:cs="宋体"/>
        </w:rPr>
        <w:t>（项目编号：</w:t>
      </w:r>
      <w:r>
        <w:rPr>
          <w:rFonts w:hint="eastAsia" w:ascii="宋体" w:hAnsi="宋体"/>
          <w:lang w:val="en-US" w:eastAsia="zh-CN"/>
        </w:rPr>
        <w:t xml:space="preserve">       </w:t>
      </w:r>
      <w:r>
        <w:rPr>
          <w:rFonts w:hint="eastAsia" w:ascii="宋体" w:hAnsi="宋体" w:cs="宋体"/>
        </w:rPr>
        <w:t>）中标供应商。根据《中华人民共和国政府采购法》</w:t>
      </w:r>
      <w:r>
        <w:rPr>
          <w:rFonts w:hint="eastAsia" w:ascii="宋体" w:hAnsi="宋体" w:cs="宋体"/>
          <w:lang w:eastAsia="zh-CN"/>
        </w:rPr>
        <w:t>、</w:t>
      </w:r>
      <w:r>
        <w:rPr>
          <w:rFonts w:hint="eastAsia" w:ascii="宋体" w:hAnsi="宋体" w:cs="宋体"/>
        </w:rPr>
        <w:t>《中华人民共和国</w:t>
      </w:r>
      <w:r>
        <w:rPr>
          <w:rFonts w:hint="eastAsia" w:ascii="宋体" w:hAnsi="宋体" w:cs="宋体"/>
          <w:lang w:val="en-US" w:eastAsia="zh-CN"/>
        </w:rPr>
        <w:t>民法典</w:t>
      </w:r>
      <w:r>
        <w:rPr>
          <w:rFonts w:hint="eastAsia" w:ascii="宋体" w:hAnsi="宋体" w:cs="宋体"/>
        </w:rPr>
        <w:t>》已及华春建设工程项目管理有限责任公司</w:t>
      </w:r>
      <w:r>
        <w:rPr>
          <w:rFonts w:hint="eastAsia" w:ascii="宋体" w:hAnsi="宋体" w:cs="宋体"/>
          <w:highlight w:val="none"/>
        </w:rPr>
        <w:t>招标公司)</w:t>
      </w:r>
      <w:r>
        <w:rPr>
          <w:rFonts w:hint="eastAsia" w:ascii="宋体" w:hAnsi="宋体" w:cs="宋体"/>
        </w:rPr>
        <w:t>招标文件，中标通知书。经甲、乙双方协商。达成如下合同条款：</w:t>
      </w:r>
    </w:p>
    <w:p w14:paraId="470FA7D1">
      <w:pPr>
        <w:pStyle w:val="2"/>
        <w:keepLines w:val="0"/>
        <w:pageBreakBefore w:val="0"/>
        <w:widowControl w:val="0"/>
        <w:numPr>
          <w:ilvl w:val="0"/>
          <w:numId w:val="2"/>
        </w:numPr>
        <w:tabs>
          <w:tab w:val="left" w:pos="862"/>
        </w:tabs>
        <w:kinsoku/>
        <w:wordWrap/>
        <w:overflowPunct/>
        <w:topLinePunct w:val="0"/>
        <w:autoSpaceDE/>
        <w:autoSpaceDN/>
        <w:bidi w:val="0"/>
        <w:adjustRightInd/>
        <w:snapToGrid/>
        <w:spacing w:line="360" w:lineRule="auto"/>
        <w:textAlignment w:val="auto"/>
        <w:rPr>
          <w:rFonts w:ascii="黑体" w:hAnsi="宋体" w:cs="黑体"/>
          <w:sz w:val="24"/>
          <w:szCs w:val="24"/>
        </w:rPr>
      </w:pPr>
      <w:bookmarkStart w:id="0" w:name="_Toc217446107"/>
      <w:r>
        <w:rPr>
          <w:rFonts w:hint="eastAsia" w:ascii="黑体" w:hAnsi="宋体" w:cs="黑体"/>
          <w:sz w:val="24"/>
          <w:szCs w:val="24"/>
        </w:rPr>
        <w:t>合同货物</w:t>
      </w:r>
      <w:bookmarkEnd w:id="0"/>
      <w:bookmarkStart w:id="7" w:name="_GoBack"/>
      <w:bookmarkEnd w:id="7"/>
    </w:p>
    <w:p w14:paraId="39BA95C8">
      <w:pPr>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ascii="宋体" w:hAnsi="宋体"/>
          <w:b/>
          <w:bCs/>
          <w:sz w:val="24"/>
          <w:szCs w:val="24"/>
        </w:rPr>
      </w:pPr>
      <w:r>
        <w:rPr>
          <w:rFonts w:hint="eastAsia" w:ascii="宋体" w:hAnsi="宋体"/>
          <w:b/>
          <w:bCs/>
          <w:sz w:val="24"/>
          <w:szCs w:val="24"/>
        </w:rPr>
        <w:t>产品技术规格、数量：</w:t>
      </w:r>
    </w:p>
    <w:tbl>
      <w:tblPr>
        <w:tblStyle w:val="7"/>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0E9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586DAB8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198" w:type="dxa"/>
            <w:vAlign w:val="center"/>
          </w:tcPr>
          <w:p w14:paraId="3477C3B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产品</w:t>
            </w:r>
          </w:p>
          <w:p w14:paraId="48E9587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名称</w:t>
            </w:r>
          </w:p>
        </w:tc>
        <w:tc>
          <w:tcPr>
            <w:tcW w:w="993" w:type="dxa"/>
            <w:vAlign w:val="center"/>
          </w:tcPr>
          <w:p w14:paraId="137747FD">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品牌</w:t>
            </w:r>
          </w:p>
        </w:tc>
        <w:tc>
          <w:tcPr>
            <w:tcW w:w="1559" w:type="dxa"/>
            <w:vAlign w:val="center"/>
          </w:tcPr>
          <w:p w14:paraId="19522E7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规格型号</w:t>
            </w:r>
          </w:p>
        </w:tc>
        <w:tc>
          <w:tcPr>
            <w:tcW w:w="850" w:type="dxa"/>
            <w:vAlign w:val="center"/>
          </w:tcPr>
          <w:p w14:paraId="377E0EA9">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产地</w:t>
            </w:r>
          </w:p>
        </w:tc>
        <w:tc>
          <w:tcPr>
            <w:tcW w:w="993" w:type="dxa"/>
            <w:vAlign w:val="center"/>
          </w:tcPr>
          <w:p w14:paraId="5040A13E">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w:t>
            </w:r>
          </w:p>
        </w:tc>
        <w:tc>
          <w:tcPr>
            <w:tcW w:w="850" w:type="dxa"/>
            <w:vAlign w:val="center"/>
          </w:tcPr>
          <w:p w14:paraId="4357309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w:t>
            </w:r>
          </w:p>
        </w:tc>
        <w:tc>
          <w:tcPr>
            <w:tcW w:w="1276" w:type="dxa"/>
            <w:vAlign w:val="center"/>
          </w:tcPr>
          <w:p w14:paraId="7D2EA4F5">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单价</w:t>
            </w:r>
          </w:p>
          <w:p w14:paraId="7CDBE652">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（万元）</w:t>
            </w:r>
          </w:p>
        </w:tc>
        <w:tc>
          <w:tcPr>
            <w:tcW w:w="1299" w:type="dxa"/>
            <w:vAlign w:val="center"/>
          </w:tcPr>
          <w:p w14:paraId="2A4FA5A2">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合计</w:t>
            </w:r>
          </w:p>
          <w:p w14:paraId="5D7E6B3E">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（万元）</w:t>
            </w:r>
          </w:p>
        </w:tc>
      </w:tr>
      <w:tr w14:paraId="73BD3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498" w:type="dxa"/>
            <w:vAlign w:val="center"/>
          </w:tcPr>
          <w:p w14:paraId="69C26F03">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16CA4EA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38BD22A7">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280FE8D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021C9C9F">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35EFC37B">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850" w:type="dxa"/>
            <w:vAlign w:val="center"/>
          </w:tcPr>
          <w:p w14:paraId="76527C7E">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76" w:type="dxa"/>
            <w:vAlign w:val="center"/>
          </w:tcPr>
          <w:p w14:paraId="45FC3511">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7ACCA798">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pacing w:val="-6"/>
                <w:sz w:val="21"/>
                <w:szCs w:val="21"/>
              </w:rPr>
            </w:pPr>
          </w:p>
        </w:tc>
      </w:tr>
      <w:tr w14:paraId="6B831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2F9664F">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37872119">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1DA4AF4F">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7E98F64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52A7117A">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351C64A3">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850" w:type="dxa"/>
            <w:vAlign w:val="center"/>
          </w:tcPr>
          <w:p w14:paraId="4F8A614D">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76" w:type="dxa"/>
            <w:vAlign w:val="center"/>
          </w:tcPr>
          <w:p w14:paraId="73E48115">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1"/>
                <w:szCs w:val="21"/>
              </w:rPr>
            </w:pPr>
          </w:p>
        </w:tc>
        <w:tc>
          <w:tcPr>
            <w:tcW w:w="1299" w:type="dxa"/>
            <w:vAlign w:val="center"/>
          </w:tcPr>
          <w:p w14:paraId="33D76FB7">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pacing w:val="-6"/>
                <w:sz w:val="21"/>
                <w:szCs w:val="21"/>
              </w:rPr>
            </w:pPr>
          </w:p>
        </w:tc>
      </w:tr>
      <w:tr w14:paraId="1EE27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796715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0260EFF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CFF8393">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46A56CA5">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441D0DAC">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00D654FF">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850" w:type="dxa"/>
            <w:vAlign w:val="center"/>
          </w:tcPr>
          <w:p w14:paraId="0C96EAFA">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76" w:type="dxa"/>
            <w:vAlign w:val="center"/>
          </w:tcPr>
          <w:p w14:paraId="053A33CF">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60359FF4">
            <w:pPr>
              <w:pStyle w:val="5"/>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pacing w:val="-6"/>
                <w:sz w:val="21"/>
                <w:szCs w:val="21"/>
              </w:rPr>
            </w:pPr>
          </w:p>
        </w:tc>
      </w:tr>
      <w:tr w14:paraId="4B03D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44AFFF3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1A5B00D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5B37D83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215F5648">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2461A942">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993" w:type="dxa"/>
            <w:vAlign w:val="center"/>
          </w:tcPr>
          <w:p w14:paraId="42F0D15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6E7B21C9">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276" w:type="dxa"/>
            <w:vAlign w:val="center"/>
          </w:tcPr>
          <w:p w14:paraId="2E2B7E83">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7432F66A">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r>
      <w:tr w14:paraId="69F5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7AC18E2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1E18875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7F3228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13FA432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3E969237">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076B391">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6085519C">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276" w:type="dxa"/>
            <w:vAlign w:val="center"/>
          </w:tcPr>
          <w:p w14:paraId="63A92B31">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300F919B">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r>
      <w:tr w14:paraId="6C07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16D595B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198" w:type="dxa"/>
            <w:vAlign w:val="center"/>
          </w:tcPr>
          <w:p w14:paraId="07B7CA4B">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72E84C3A">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559" w:type="dxa"/>
            <w:vAlign w:val="center"/>
          </w:tcPr>
          <w:p w14:paraId="74F83DE4">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p>
        </w:tc>
        <w:tc>
          <w:tcPr>
            <w:tcW w:w="850" w:type="dxa"/>
            <w:vAlign w:val="center"/>
          </w:tcPr>
          <w:p w14:paraId="4CEE0BAE">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993" w:type="dxa"/>
            <w:vAlign w:val="center"/>
          </w:tcPr>
          <w:p w14:paraId="32C7E764">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850" w:type="dxa"/>
            <w:vAlign w:val="center"/>
          </w:tcPr>
          <w:p w14:paraId="3D24F990">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1"/>
                <w:szCs w:val="21"/>
              </w:rPr>
            </w:pPr>
          </w:p>
        </w:tc>
        <w:tc>
          <w:tcPr>
            <w:tcW w:w="1276" w:type="dxa"/>
            <w:vAlign w:val="center"/>
          </w:tcPr>
          <w:p w14:paraId="43227DE4">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c>
          <w:tcPr>
            <w:tcW w:w="1299" w:type="dxa"/>
            <w:vAlign w:val="center"/>
          </w:tcPr>
          <w:p w14:paraId="78F81F12">
            <w:pPr>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rPr>
            </w:pPr>
          </w:p>
        </w:tc>
      </w:tr>
      <w:tr w14:paraId="7B3FC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26275357">
            <w:pPr>
              <w:pStyle w:val="5"/>
              <w:keepLines w:val="0"/>
              <w:pageBreakBefore w:val="0"/>
              <w:widowControl w:val="0"/>
              <w:kinsoku/>
              <w:wordWrap/>
              <w:overflowPunct/>
              <w:topLinePunct w:val="0"/>
              <w:autoSpaceDE/>
              <w:autoSpaceDN/>
              <w:bidi w:val="0"/>
              <w:adjustRightInd/>
              <w:snapToGrid/>
              <w:spacing w:line="360" w:lineRule="auto"/>
              <w:ind w:firstLine="616"/>
              <w:textAlignment w:val="auto"/>
              <w:rPr>
                <w:rFonts w:hint="eastAsia" w:asciiTheme="minorEastAsia" w:hAnsiTheme="minorEastAsia" w:eastAsiaTheme="minorEastAsia" w:cstheme="minorEastAsia"/>
                <w:spacing w:val="-6"/>
                <w:sz w:val="21"/>
                <w:szCs w:val="21"/>
              </w:rPr>
            </w:pPr>
            <w:r>
              <w:rPr>
                <w:rFonts w:hint="eastAsia" w:asciiTheme="minorEastAsia" w:hAnsiTheme="minorEastAsia" w:eastAsiaTheme="minorEastAsia" w:cstheme="minorEastAsia"/>
                <w:spacing w:val="-6"/>
                <w:sz w:val="21"/>
                <w:szCs w:val="21"/>
              </w:rPr>
              <w:t>合同总价（人民币大写）：</w:t>
            </w:r>
            <w:r>
              <w:rPr>
                <w:rFonts w:hint="eastAsia" w:asciiTheme="minorEastAsia" w:hAnsiTheme="minorEastAsia" w:eastAsiaTheme="minorEastAsia" w:cstheme="minorEastAsia"/>
                <w:sz w:val="21"/>
                <w:szCs w:val="21"/>
              </w:rPr>
              <w:t xml:space="preserve">         元整 </w:t>
            </w:r>
            <w:r>
              <w:rPr>
                <w:rFonts w:hint="eastAsia" w:asciiTheme="minorEastAsia" w:hAnsiTheme="minorEastAsia" w:eastAsiaTheme="minorEastAsia" w:cstheme="minorEastAsia"/>
                <w:spacing w:val="-6"/>
                <w:sz w:val="21"/>
                <w:szCs w:val="21"/>
              </w:rPr>
              <w:t>（￥     万元）</w:t>
            </w:r>
          </w:p>
        </w:tc>
      </w:tr>
    </w:tbl>
    <w:p w14:paraId="372A7E25">
      <w:pPr>
        <w:keepLines w:val="0"/>
        <w:pageBreakBefore w:val="0"/>
        <w:widowControl w:val="0"/>
        <w:kinsoku/>
        <w:wordWrap/>
        <w:overflowPunct/>
        <w:topLinePunct w:val="0"/>
        <w:autoSpaceDE/>
        <w:autoSpaceDN/>
        <w:bidi w:val="0"/>
        <w:adjustRightInd/>
        <w:snapToGrid/>
        <w:spacing w:line="360" w:lineRule="auto"/>
        <w:textAlignment w:val="auto"/>
        <w:rPr>
          <w:rFonts w:ascii="宋体" w:hAnsi="宋体"/>
          <w:b/>
          <w:bCs/>
          <w:sz w:val="24"/>
          <w:szCs w:val="24"/>
        </w:rPr>
      </w:pPr>
    </w:p>
    <w:p w14:paraId="235389BF">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bookmarkStart w:id="1" w:name="_Toc217446108"/>
      <w:r>
        <w:rPr>
          <w:rFonts w:hint="eastAsia" w:ascii="黑体" w:hAnsi="宋体" w:cs="黑体"/>
          <w:sz w:val="24"/>
          <w:szCs w:val="24"/>
        </w:rPr>
        <w:t>二、合同总价</w:t>
      </w:r>
      <w:bookmarkEnd w:id="1"/>
    </w:p>
    <w:p w14:paraId="13BF0352">
      <w:pPr>
        <w:pStyle w:val="3"/>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ascii="宋体"/>
          <w:sz w:val="21"/>
          <w:szCs w:val="21"/>
        </w:rPr>
      </w:pPr>
      <w:r>
        <w:rPr>
          <w:rFonts w:hint="eastAsia" w:ascii="宋体" w:hAnsi="宋体" w:cs="宋体"/>
          <w:sz w:val="21"/>
          <w:szCs w:val="21"/>
        </w:rPr>
        <w:t>合同总价为人民币大写：</w:t>
      </w:r>
      <w:r>
        <w:rPr>
          <w:rFonts w:hint="eastAsia" w:ascii="仿宋" w:hAnsi="仿宋" w:eastAsia="仿宋"/>
          <w:b/>
          <w:bCs/>
          <w:sz w:val="21"/>
          <w:szCs w:val="21"/>
          <w:u w:val="single"/>
        </w:rPr>
        <w:t xml:space="preserve"> </w:t>
      </w:r>
      <w:r>
        <w:rPr>
          <w:rFonts w:ascii="仿宋" w:hAnsi="仿宋" w:eastAsia="仿宋"/>
          <w:b/>
          <w:bCs/>
          <w:sz w:val="21"/>
          <w:szCs w:val="21"/>
          <w:u w:val="single"/>
        </w:rPr>
        <w:t xml:space="preserve">          </w:t>
      </w:r>
      <w:r>
        <w:rPr>
          <w:rFonts w:hint="eastAsia" w:ascii="仿宋" w:hAnsi="仿宋" w:eastAsia="仿宋"/>
          <w:b/>
          <w:bCs/>
          <w:sz w:val="21"/>
          <w:szCs w:val="21"/>
          <w:u w:val="single"/>
        </w:rPr>
        <w:t>元整</w:t>
      </w:r>
      <w:r>
        <w:rPr>
          <w:rFonts w:hint="eastAsia" w:ascii="宋体" w:hAnsi="宋体" w:cs="宋体"/>
          <w:sz w:val="21"/>
          <w:szCs w:val="21"/>
        </w:rPr>
        <w:t>，即</w:t>
      </w:r>
      <w:r>
        <w:rPr>
          <w:rFonts w:ascii="宋体" w:hAnsi="宋体" w:cs="宋体"/>
          <w:sz w:val="21"/>
          <w:szCs w:val="21"/>
        </w:rPr>
        <w:t>RMB</w:t>
      </w:r>
      <w:r>
        <w:rPr>
          <w:rFonts w:hint="eastAsia" w:ascii="宋体" w:hAnsi="宋体" w:cs="宋体"/>
          <w:sz w:val="21"/>
          <w:szCs w:val="21"/>
        </w:rPr>
        <w:t>￥</w:t>
      </w:r>
      <w:r>
        <w:rPr>
          <w:rFonts w:ascii="宋体" w:hAnsi="宋体" w:cs="宋体"/>
          <w:sz w:val="21"/>
          <w:szCs w:val="21"/>
          <w:u w:val="single"/>
        </w:rPr>
        <w:t xml:space="preserve"> </w:t>
      </w:r>
      <w:r>
        <w:rPr>
          <w:rFonts w:ascii="宋体" w:hAnsi="宋体" w:cs="宋体"/>
          <w:b/>
          <w:bCs/>
          <w:sz w:val="21"/>
          <w:szCs w:val="21"/>
          <w:u w:val="single"/>
        </w:rPr>
        <w:t xml:space="preserve">    </w:t>
      </w:r>
      <w:r>
        <w:rPr>
          <w:rFonts w:hint="eastAsia" w:ascii="宋体" w:hAnsi="宋体" w:cs="宋体"/>
          <w:sz w:val="21"/>
          <w:szCs w:val="21"/>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2B0E1C40">
      <w:pPr>
        <w:keepLines w:val="0"/>
        <w:pageBreakBefore w:val="0"/>
        <w:widowControl w:val="0"/>
        <w:kinsoku/>
        <w:wordWrap/>
        <w:overflowPunct/>
        <w:topLinePunct w:val="0"/>
        <w:autoSpaceDE/>
        <w:autoSpaceDN/>
        <w:bidi w:val="0"/>
        <w:adjustRightInd/>
        <w:snapToGrid/>
        <w:spacing w:line="360" w:lineRule="auto"/>
        <w:textAlignment w:val="auto"/>
        <w:rPr>
          <w:rFonts w:ascii="黑体" w:hAnsi="宋体" w:eastAsia="黑体"/>
          <w:b/>
          <w:bCs/>
          <w:sz w:val="24"/>
          <w:szCs w:val="24"/>
        </w:rPr>
      </w:pPr>
      <w:bookmarkStart w:id="2" w:name="_Toc217446109"/>
      <w:r>
        <w:rPr>
          <w:rFonts w:hint="eastAsia" w:ascii="黑体" w:hAnsi="宋体" w:eastAsia="黑体" w:cs="黑体"/>
          <w:b/>
          <w:bCs/>
          <w:sz w:val="24"/>
          <w:szCs w:val="24"/>
        </w:rPr>
        <w:t>三、商务条款：</w:t>
      </w:r>
    </w:p>
    <w:p w14:paraId="722B4CA1">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sz w:val="21"/>
          <w:szCs w:val="21"/>
        </w:rPr>
      </w:pPr>
      <w:r>
        <w:rPr>
          <w:rFonts w:ascii="宋体" w:hAnsi="宋体" w:cs="宋体"/>
          <w:sz w:val="21"/>
          <w:szCs w:val="21"/>
        </w:rPr>
        <w:t>1</w:t>
      </w:r>
      <w:r>
        <w:rPr>
          <w:rFonts w:hint="eastAsia" w:ascii="宋体" w:hAnsi="宋体" w:cs="宋体"/>
          <w:sz w:val="21"/>
          <w:szCs w:val="21"/>
        </w:rPr>
        <w:t>、</w:t>
      </w:r>
      <w:r>
        <w:rPr>
          <w:rFonts w:hint="eastAsia" w:ascii="宋体" w:hAnsi="宋体" w:cs="宋体"/>
          <w:b/>
          <w:bCs/>
          <w:sz w:val="21"/>
          <w:szCs w:val="21"/>
          <w:lang w:val="en-US" w:eastAsia="zh-CN"/>
        </w:rPr>
        <w:t>交货期</w:t>
      </w:r>
      <w:r>
        <w:rPr>
          <w:rFonts w:hint="eastAsia" w:ascii="宋体" w:hAnsi="宋体" w:cs="宋体"/>
          <w:b/>
          <w:bCs/>
          <w:sz w:val="21"/>
          <w:szCs w:val="21"/>
        </w:rPr>
        <w:t>：</w:t>
      </w:r>
      <w:r>
        <w:rPr>
          <w:rFonts w:ascii="宋体"/>
          <w:sz w:val="21"/>
          <w:szCs w:val="21"/>
        </w:rPr>
        <w:t xml:space="preserve"> </w:t>
      </w:r>
    </w:p>
    <w:p w14:paraId="75626A89">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b/>
          <w:bCs/>
          <w:sz w:val="21"/>
          <w:szCs w:val="21"/>
        </w:rPr>
      </w:pPr>
      <w:r>
        <w:rPr>
          <w:rFonts w:ascii="宋体" w:hAnsi="宋体" w:cs="宋体"/>
          <w:sz w:val="21"/>
          <w:szCs w:val="21"/>
        </w:rPr>
        <w:t>2</w:t>
      </w:r>
      <w:r>
        <w:rPr>
          <w:rFonts w:hint="eastAsia" w:ascii="宋体" w:hAnsi="宋体" w:cs="宋体"/>
          <w:sz w:val="21"/>
          <w:szCs w:val="21"/>
        </w:rPr>
        <w:t>、</w:t>
      </w:r>
      <w:r>
        <w:rPr>
          <w:rFonts w:hint="eastAsia" w:ascii="宋体" w:hAnsi="宋体" w:cs="宋体"/>
          <w:b/>
          <w:bCs/>
          <w:sz w:val="21"/>
          <w:szCs w:val="21"/>
        </w:rPr>
        <w:t>实施地点</w:t>
      </w:r>
      <w:r>
        <w:rPr>
          <w:rFonts w:ascii="宋体" w:hAnsi="宋体" w:cs="宋体"/>
          <w:b/>
          <w:bCs/>
          <w:sz w:val="21"/>
          <w:szCs w:val="21"/>
        </w:rPr>
        <w:t xml:space="preserve">: </w:t>
      </w:r>
      <w:r>
        <w:rPr>
          <w:rFonts w:hint="eastAsia" w:ascii="宋体" w:hAnsi="宋体" w:cs="宋体"/>
          <w:sz w:val="21"/>
          <w:szCs w:val="21"/>
          <w:u w:val="single"/>
        </w:rPr>
        <w:t>根据甲方指定交货地点交货</w:t>
      </w:r>
    </w:p>
    <w:p w14:paraId="13890E97">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sz w:val="21"/>
          <w:szCs w:val="21"/>
        </w:rPr>
      </w:pPr>
      <w:r>
        <w:rPr>
          <w:rFonts w:ascii="宋体" w:hAnsi="宋体" w:cs="宋体"/>
          <w:sz w:val="21"/>
          <w:szCs w:val="21"/>
        </w:rPr>
        <w:t>3</w:t>
      </w:r>
      <w:r>
        <w:rPr>
          <w:rFonts w:hint="eastAsia" w:ascii="宋体" w:hAnsi="宋体" w:cs="宋体"/>
          <w:sz w:val="21"/>
          <w:szCs w:val="21"/>
        </w:rPr>
        <w:t>、</w:t>
      </w:r>
      <w:r>
        <w:rPr>
          <w:rFonts w:hint="eastAsia" w:ascii="宋体" w:hAnsi="宋体" w:cs="宋体"/>
          <w:b/>
          <w:bCs/>
          <w:sz w:val="21"/>
          <w:szCs w:val="21"/>
        </w:rPr>
        <w:t>付款方式：</w:t>
      </w:r>
    </w:p>
    <w:p w14:paraId="49D4E66E">
      <w:pPr>
        <w:keepLines w:val="0"/>
        <w:pageBreakBefore w:val="0"/>
        <w:widowControl w:val="0"/>
        <w:numPr>
          <w:ilvl w:val="0"/>
          <w:numId w:val="0"/>
        </w:numPr>
        <w:kinsoku/>
        <w:wordWrap/>
        <w:overflowPunct/>
        <w:topLinePunct w:val="0"/>
        <w:autoSpaceDE/>
        <w:autoSpaceDN/>
        <w:bidi w:val="0"/>
        <w:adjustRightInd/>
        <w:snapToGrid/>
        <w:spacing w:line="360" w:lineRule="auto"/>
        <w:ind w:left="210" w:leftChars="0"/>
        <w:textAlignment w:val="auto"/>
        <w:rPr>
          <w:rFonts w:ascii="宋体" w:hAnsi="宋体" w:cs="宋体"/>
          <w:sz w:val="21"/>
          <w:szCs w:val="21"/>
        </w:rPr>
      </w:pPr>
      <w:r>
        <w:rPr>
          <w:rFonts w:hint="eastAsia" w:ascii="宋体" w:hAnsi="宋体" w:cs="宋体"/>
          <w:sz w:val="21"/>
          <w:szCs w:val="21"/>
        </w:rPr>
        <w:t>所有产品验收合格后，</w:t>
      </w:r>
      <w:r>
        <w:rPr>
          <w:rFonts w:hint="eastAsia" w:ascii="宋体" w:hAnsi="宋体" w:cs="宋体"/>
          <w:sz w:val="21"/>
          <w:szCs w:val="21"/>
          <w:lang w:val="en-US" w:eastAsia="zh-CN"/>
        </w:rPr>
        <w:t>由乙方开具真实发票，提供规定的付款资料后，甲方</w:t>
      </w:r>
      <w:r>
        <w:rPr>
          <w:rFonts w:hint="eastAsia" w:ascii="宋体" w:hAnsi="宋体" w:cs="宋体"/>
          <w:sz w:val="21"/>
          <w:szCs w:val="21"/>
        </w:rPr>
        <w:t>支付合同总价的</w:t>
      </w:r>
      <w:r>
        <w:rPr>
          <w:rFonts w:hint="eastAsia" w:ascii="宋体" w:hAnsi="宋体" w:cs="宋体"/>
          <w:sz w:val="21"/>
          <w:szCs w:val="21"/>
          <w:lang w:val="en-US" w:eastAsia="zh-CN"/>
        </w:rPr>
        <w:t>100</w:t>
      </w:r>
      <w:r>
        <w:rPr>
          <w:rFonts w:hint="eastAsia" w:ascii="宋体" w:hAnsi="宋体" w:cs="宋体"/>
          <w:sz w:val="21"/>
          <w:szCs w:val="21"/>
        </w:rPr>
        <w:t>%。即</w:t>
      </w:r>
      <w:r>
        <w:rPr>
          <w:rFonts w:hint="eastAsia" w:ascii="宋体" w:hAnsi="宋体" w:cs="宋体"/>
          <w:b/>
          <w:bCs/>
          <w:sz w:val="21"/>
          <w:szCs w:val="21"/>
          <w:u w:val="single"/>
        </w:rPr>
        <w:t xml:space="preserve">人民币 </w:t>
      </w:r>
      <w:r>
        <w:rPr>
          <w:rFonts w:ascii="宋体" w:hAnsi="宋体" w:cs="宋体"/>
          <w:b/>
          <w:bCs/>
          <w:sz w:val="21"/>
          <w:szCs w:val="21"/>
          <w:u w:val="single"/>
        </w:rPr>
        <w:t xml:space="preserve">    </w:t>
      </w:r>
      <w:r>
        <w:rPr>
          <w:rFonts w:hint="eastAsia" w:ascii="宋体" w:hAnsi="宋体" w:cs="宋体"/>
          <w:b/>
          <w:bCs/>
          <w:sz w:val="21"/>
          <w:szCs w:val="21"/>
          <w:u w:val="single"/>
        </w:rPr>
        <w:t xml:space="preserve">元（大写： </w:t>
      </w:r>
      <w:r>
        <w:rPr>
          <w:rFonts w:ascii="宋体" w:hAnsi="宋体" w:cs="宋体"/>
          <w:b/>
          <w:bCs/>
          <w:sz w:val="21"/>
          <w:szCs w:val="21"/>
          <w:u w:val="single"/>
        </w:rPr>
        <w:t xml:space="preserve">      </w:t>
      </w:r>
      <w:r>
        <w:rPr>
          <w:rFonts w:hint="eastAsia" w:ascii="宋体" w:hAnsi="宋体" w:cs="宋体"/>
          <w:b/>
          <w:bCs/>
          <w:sz w:val="21"/>
          <w:szCs w:val="21"/>
          <w:u w:val="single"/>
        </w:rPr>
        <w:t>元整）</w:t>
      </w:r>
      <w:r>
        <w:rPr>
          <w:rFonts w:hint="eastAsia" w:ascii="宋体" w:hAnsi="宋体" w:cs="宋体"/>
          <w:sz w:val="21"/>
          <w:szCs w:val="21"/>
          <w:lang w:eastAsia="zh-CN"/>
        </w:rPr>
        <w:t>。</w:t>
      </w:r>
    </w:p>
    <w:p w14:paraId="1D7A3F05">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r>
        <w:rPr>
          <w:rFonts w:hint="eastAsia" w:ascii="黑体" w:hAnsi="宋体" w:cs="黑体"/>
          <w:sz w:val="24"/>
          <w:szCs w:val="24"/>
        </w:rPr>
        <w:t>四、</w:t>
      </w:r>
      <w:r>
        <w:rPr>
          <w:rFonts w:ascii="黑体" w:hAnsi="宋体" w:cs="黑体"/>
          <w:sz w:val="24"/>
          <w:szCs w:val="24"/>
        </w:rPr>
        <w:t xml:space="preserve"> </w:t>
      </w:r>
      <w:r>
        <w:rPr>
          <w:rFonts w:hint="eastAsia" w:ascii="黑体" w:hAnsi="宋体" w:cs="黑体"/>
          <w:sz w:val="24"/>
          <w:szCs w:val="24"/>
        </w:rPr>
        <w:t>质量</w:t>
      </w:r>
      <w:bookmarkEnd w:id="2"/>
      <w:r>
        <w:rPr>
          <w:rFonts w:hint="eastAsia" w:ascii="黑体" w:hAnsi="宋体" w:cs="黑体"/>
          <w:sz w:val="24"/>
          <w:szCs w:val="24"/>
        </w:rPr>
        <w:t>保证</w:t>
      </w:r>
    </w:p>
    <w:p w14:paraId="2933D4C9">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000000"/>
          <w:sz w:val="21"/>
          <w:szCs w:val="21"/>
        </w:rPr>
      </w:pPr>
      <w:bookmarkStart w:id="3" w:name="_Toc217446110"/>
      <w:r>
        <w:rPr>
          <w:rFonts w:ascii="宋体" w:hAnsi="宋体" w:cs="宋体"/>
          <w:color w:val="000000"/>
          <w:sz w:val="21"/>
          <w:szCs w:val="21"/>
        </w:rPr>
        <w:t>1</w:t>
      </w:r>
      <w:r>
        <w:rPr>
          <w:rFonts w:hint="eastAsia" w:ascii="宋体" w:hAnsi="宋体" w:cs="宋体"/>
          <w:color w:val="000000"/>
          <w:sz w:val="21"/>
          <w:szCs w:val="21"/>
        </w:rPr>
        <w:t>、</w:t>
      </w:r>
      <w:r>
        <w:rPr>
          <w:rFonts w:hint="eastAsia" w:ascii="宋体" w:hAnsi="宋体" w:cs="宋体"/>
          <w:sz w:val="21"/>
          <w:szCs w:val="21"/>
        </w:rPr>
        <w:t>质量保证期为最终验收合格后</w:t>
      </w:r>
      <w:r>
        <w:rPr>
          <w:rFonts w:ascii="宋体" w:hAnsi="宋体" w:cs="宋体"/>
          <w:sz w:val="21"/>
          <w:szCs w:val="21"/>
          <w:u w:val="single"/>
        </w:rPr>
        <w:t xml:space="preserve">       </w:t>
      </w:r>
      <w:r>
        <w:rPr>
          <w:rFonts w:hint="eastAsia" w:ascii="宋体" w:hAnsi="宋体" w:cs="宋体"/>
          <w:sz w:val="21"/>
          <w:szCs w:val="21"/>
        </w:rPr>
        <w:t>个月。</w:t>
      </w:r>
    </w:p>
    <w:p w14:paraId="1911714D">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1"/>
          <w:szCs w:val="21"/>
        </w:rPr>
      </w:pPr>
      <w:r>
        <w:rPr>
          <w:rFonts w:ascii="宋体" w:hAnsi="宋体" w:cs="宋体"/>
          <w:color w:val="000000"/>
          <w:sz w:val="21"/>
          <w:szCs w:val="21"/>
        </w:rPr>
        <w:t>2</w:t>
      </w:r>
      <w:r>
        <w:rPr>
          <w:rFonts w:hint="eastAsia" w:ascii="宋体" w:hAnsi="宋体" w:cs="宋体"/>
          <w:color w:val="000000"/>
          <w:sz w:val="21"/>
          <w:szCs w:val="21"/>
        </w:rPr>
        <w:t>、</w:t>
      </w:r>
      <w:r>
        <w:rPr>
          <w:rFonts w:hint="eastAsia" w:ascii="宋体" w:hAnsi="宋体" w:cs="宋体"/>
          <w:sz w:val="21"/>
          <w:szCs w:val="21"/>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1BCDD597">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3、包装：包装必须适应货物特性和交通运输要求，以及国家有关标准或企业标准或合同要求。乙方应承担于包装、防护措施不妥引起的所有损失的责任和费用。</w:t>
      </w:r>
    </w:p>
    <w:p w14:paraId="7F04C6AF">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4、运输：乙方可根据完工期、运输条件自行选择运输方式（另有规定的除外），承担一切运输费用。</w:t>
      </w:r>
    </w:p>
    <w:p w14:paraId="408362C7">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5、技术保障：乙方应随同货物提供相应的中文技术文件（包括产品合格证、装箱清单、操作手册、使用说明、检测报告、维护手册、服务指南等资料）,现场安装、调试、试运行技术保障服务。</w:t>
      </w:r>
    </w:p>
    <w:p w14:paraId="6CB87462">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hint="eastAsia" w:ascii="宋体"/>
          <w:color w:val="000000"/>
          <w:sz w:val="21"/>
          <w:szCs w:val="21"/>
        </w:rPr>
        <w:t>6、人员培训：提供免费培训，人数、地点按采购人的要求约定。</w:t>
      </w:r>
    </w:p>
    <w:p w14:paraId="2B722020">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7</w:t>
      </w:r>
      <w:r>
        <w:rPr>
          <w:rFonts w:hint="eastAsia" w:ascii="宋体"/>
          <w:color w:val="000000"/>
          <w:sz w:val="21"/>
          <w:szCs w:val="21"/>
        </w:rPr>
        <w:t>、采购项目执行内容需要调整时，经采购人同意后，可以对相应的原材料进行调整，并协商确定价格差额计算方法和负担办法。</w:t>
      </w:r>
    </w:p>
    <w:p w14:paraId="3C3CF7AB">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r>
        <w:rPr>
          <w:rFonts w:hint="eastAsia" w:ascii="黑体" w:hAnsi="宋体" w:cs="黑体"/>
          <w:sz w:val="24"/>
          <w:szCs w:val="24"/>
        </w:rPr>
        <w:t>五、</w:t>
      </w:r>
      <w:bookmarkEnd w:id="3"/>
      <w:r>
        <w:rPr>
          <w:rFonts w:hint="eastAsia" w:ascii="黑体" w:hAnsi="宋体" w:cs="黑体"/>
          <w:sz w:val="24"/>
          <w:szCs w:val="24"/>
        </w:rPr>
        <w:t>售后服务要求</w:t>
      </w:r>
    </w:p>
    <w:p w14:paraId="3498A035">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000000"/>
          <w:sz w:val="21"/>
          <w:szCs w:val="21"/>
        </w:rPr>
      </w:pPr>
      <w:r>
        <w:rPr>
          <w:rFonts w:ascii="宋体" w:hAnsi="宋体" w:cs="宋体"/>
          <w:color w:val="000000"/>
          <w:sz w:val="21"/>
          <w:szCs w:val="21"/>
        </w:rPr>
        <w:t>1</w:t>
      </w:r>
      <w:r>
        <w:rPr>
          <w:rFonts w:hint="eastAsia" w:ascii="宋体" w:hAnsi="宋体" w:cs="宋体"/>
          <w:color w:val="000000"/>
          <w:sz w:val="21"/>
          <w:szCs w:val="21"/>
        </w:rPr>
        <w:t>、</w:t>
      </w:r>
      <w:r>
        <w:rPr>
          <w:rFonts w:hint="eastAsia" w:ascii="宋体" w:hAnsi="宋体" w:cs="宋体"/>
          <w:sz w:val="21"/>
          <w:szCs w:val="21"/>
        </w:rPr>
        <w:t>乙方保证提供的</w:t>
      </w:r>
      <w:bookmarkStart w:id="4" w:name="_Hlk27046681"/>
      <w:r>
        <w:rPr>
          <w:rFonts w:hint="eastAsia" w:ascii="宋体" w:hAnsi="宋体" w:cs="宋体"/>
          <w:sz w:val="21"/>
          <w:szCs w:val="21"/>
        </w:rPr>
        <w:t>产品</w:t>
      </w:r>
      <w:bookmarkEnd w:id="4"/>
      <w:r>
        <w:rPr>
          <w:rFonts w:hint="eastAsia" w:ascii="宋体" w:hAnsi="宋体" w:cs="宋体"/>
          <w:sz w:val="21"/>
          <w:szCs w:val="21"/>
        </w:rPr>
        <w:t>是通过正常渠道获得的、全新的、未使用过的合格产品；其有关技术、专利、检验、商务等均要符合中华人民共和国的有关法律、法规；乙方必须承担因所供产品而引起的全部法律责任。</w:t>
      </w:r>
    </w:p>
    <w:p w14:paraId="65E41FBB">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hAnsi="宋体" w:cs="宋体"/>
          <w:sz w:val="21"/>
          <w:szCs w:val="21"/>
        </w:rPr>
        <w:t>2</w:t>
      </w:r>
      <w:r>
        <w:rPr>
          <w:rFonts w:hint="eastAsia" w:ascii="宋体" w:hAnsi="宋体" w:cs="宋体"/>
          <w:sz w:val="21"/>
          <w:szCs w:val="21"/>
        </w:rPr>
        <w:t>、乙方的责任包括从产品交付到整个项目（安装调试完毕）的交付使用，质量保证期内的免费维护和修理，质量保证期内的维护指导和维修等。</w:t>
      </w:r>
    </w:p>
    <w:p w14:paraId="0629553B">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 w:val="21"/>
          <w:szCs w:val="21"/>
        </w:rPr>
      </w:pPr>
      <w:r>
        <w:rPr>
          <w:rFonts w:ascii="宋体" w:hAnsi="宋体" w:cs="宋体"/>
          <w:sz w:val="21"/>
          <w:szCs w:val="21"/>
        </w:rPr>
        <w:t>3</w:t>
      </w:r>
      <w:r>
        <w:rPr>
          <w:rFonts w:hint="eastAsia" w:ascii="宋体" w:hAnsi="宋体" w:cs="宋体"/>
          <w:sz w:val="21"/>
          <w:szCs w:val="21"/>
        </w:rPr>
        <w:t>、乙方应保证设备在进行安装、调试和使用等过程中损坏的或有缺陷的部件可方便地得到免费修理和免费更换。</w:t>
      </w:r>
    </w:p>
    <w:p w14:paraId="071E100A">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4</w:t>
      </w:r>
      <w:r>
        <w:rPr>
          <w:rFonts w:hint="eastAsia" w:ascii="宋体"/>
          <w:color w:val="000000"/>
          <w:sz w:val="21"/>
          <w:szCs w:val="21"/>
        </w:rPr>
        <w:t>、乙方使用的原材料应提供清单，并在到货24小时内通知甲方代表检验核实（校方自行验收）。</w:t>
      </w:r>
    </w:p>
    <w:p w14:paraId="40AC7674">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6</w:t>
      </w:r>
      <w:r>
        <w:rPr>
          <w:rFonts w:hint="eastAsia" w:ascii="宋体"/>
          <w:color w:val="000000"/>
          <w:sz w:val="21"/>
          <w:szCs w:val="21"/>
        </w:rPr>
        <w:t>、在质保期内，如果发现货物的质量、规格、技术指标等存在与合同中任何一项不符，甲方应在最短时间内，以书面形式向乙方提出索赔。同时通告采购代理机构。</w:t>
      </w:r>
    </w:p>
    <w:p w14:paraId="567A9294">
      <w:pPr>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color w:val="000000"/>
          <w:sz w:val="21"/>
          <w:szCs w:val="21"/>
        </w:rPr>
      </w:pPr>
      <w:r>
        <w:rPr>
          <w:rFonts w:ascii="宋体"/>
          <w:color w:val="000000"/>
          <w:sz w:val="21"/>
          <w:szCs w:val="21"/>
        </w:rPr>
        <w:t>7</w:t>
      </w:r>
      <w:r>
        <w:rPr>
          <w:rFonts w:hint="eastAsia" w:ascii="宋体"/>
          <w:color w:val="000000"/>
          <w:sz w:val="21"/>
          <w:szCs w:val="21"/>
        </w:rPr>
        <w:t>、保修期内，损坏部件的修理费、往返运保费等均由乙方承担。保修期外，按照第四条质量保证第2小项执行。</w:t>
      </w:r>
    </w:p>
    <w:p w14:paraId="10C53DC5">
      <w:pPr>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 w:val="24"/>
          <w:szCs w:val="24"/>
        </w:rPr>
      </w:pPr>
      <w:r>
        <w:rPr>
          <w:rFonts w:hint="eastAsia" w:ascii="宋体" w:hAnsi="宋体" w:cs="宋体"/>
          <w:b/>
          <w:bCs/>
          <w:sz w:val="24"/>
          <w:szCs w:val="24"/>
        </w:rPr>
        <w:t>六、验收</w:t>
      </w:r>
    </w:p>
    <w:p w14:paraId="03129818">
      <w:pPr>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000000"/>
          <w:sz w:val="21"/>
          <w:szCs w:val="21"/>
        </w:rPr>
      </w:pPr>
      <w:r>
        <w:rPr>
          <w:rFonts w:hint="eastAsia" w:ascii="宋体" w:hAnsi="宋体" w:cs="宋体"/>
          <w:sz w:val="21"/>
          <w:szCs w:val="21"/>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CEC8230">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bookmarkStart w:id="5" w:name="_Toc217446114"/>
      <w:r>
        <w:rPr>
          <w:rFonts w:hint="eastAsia" w:ascii="黑体" w:hAnsi="宋体" w:cs="黑体"/>
          <w:sz w:val="24"/>
          <w:szCs w:val="24"/>
        </w:rPr>
        <w:t>七、争议解决办法</w:t>
      </w:r>
      <w:bookmarkEnd w:id="5"/>
    </w:p>
    <w:p w14:paraId="5283D2BE">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rPr>
      </w:pPr>
      <w:r>
        <w:rPr>
          <w:rFonts w:hint="eastAsia" w:ascii="宋体" w:hAnsi="宋体" w:cs="宋体"/>
        </w:rPr>
        <w:t>1、乙方未征得甲方同意和谅解而单方面延迟完工，将按违约终止合同。</w:t>
      </w:r>
    </w:p>
    <w:p w14:paraId="463D6C49">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rPr>
      </w:pPr>
      <w:r>
        <w:rPr>
          <w:rFonts w:ascii="宋体" w:hAnsi="宋体" w:cs="宋体"/>
        </w:rPr>
        <w:t>2</w:t>
      </w:r>
      <w:r>
        <w:rPr>
          <w:rFonts w:hint="eastAsia" w:ascii="宋体" w:hAnsi="宋体" w:cs="宋体"/>
        </w:rPr>
        <w:t>、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668576F7">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3</w:t>
      </w:r>
      <w:r>
        <w:rPr>
          <w:rFonts w:hint="eastAsia" w:ascii="宋体" w:hAnsi="宋体" w:cs="宋体"/>
        </w:rPr>
        <w:t>、因货物的质量问题发生争议，由质量技术监督部门或其指定的质量鉴定机构进行质量鉴定。鉴定费由乙方承担。</w:t>
      </w:r>
    </w:p>
    <w:p w14:paraId="10BF193C">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4</w:t>
      </w:r>
      <w:r>
        <w:rPr>
          <w:rFonts w:hint="eastAsia" w:ascii="宋体" w:hAnsi="宋体" w:cs="宋体"/>
        </w:rPr>
        <w:t>、合同履行期间</w:t>
      </w:r>
      <w:r>
        <w:rPr>
          <w:rFonts w:ascii="宋体" w:cs="宋体"/>
        </w:rPr>
        <w:t>,</w:t>
      </w:r>
      <w:r>
        <w:rPr>
          <w:rFonts w:hint="eastAsia" w:ascii="宋体" w:hAnsi="宋体" w:cs="宋体"/>
        </w:rPr>
        <w:t>若双方发生争议，可协商或由有关部门调解解决，协商或调解不成的，由当事人依法维护其合法权益。</w:t>
      </w:r>
    </w:p>
    <w:p w14:paraId="1D9C7520">
      <w:pPr>
        <w:pStyle w:val="2"/>
        <w:keepLines w:val="0"/>
        <w:pageBreakBefore w:val="0"/>
        <w:widowControl w:val="0"/>
        <w:numPr>
          <w:ilvl w:val="0"/>
          <w:numId w:val="0"/>
        </w:numPr>
        <w:tabs>
          <w:tab w:val="left" w:pos="862"/>
        </w:tabs>
        <w:kinsoku/>
        <w:wordWrap/>
        <w:overflowPunct/>
        <w:topLinePunct w:val="0"/>
        <w:autoSpaceDE/>
        <w:autoSpaceDN/>
        <w:bidi w:val="0"/>
        <w:adjustRightInd/>
        <w:snapToGrid/>
        <w:spacing w:line="360" w:lineRule="auto"/>
        <w:textAlignment w:val="auto"/>
        <w:rPr>
          <w:rFonts w:ascii="黑体" w:hAnsi="宋体"/>
          <w:sz w:val="24"/>
          <w:szCs w:val="24"/>
        </w:rPr>
      </w:pPr>
      <w:bookmarkStart w:id="6" w:name="_Toc217446115"/>
      <w:r>
        <w:rPr>
          <w:rFonts w:hint="eastAsia" w:ascii="黑体" w:hAnsi="宋体" w:cs="黑体"/>
          <w:sz w:val="24"/>
          <w:szCs w:val="24"/>
        </w:rPr>
        <w:t>八、其他</w:t>
      </w:r>
      <w:bookmarkEnd w:id="6"/>
    </w:p>
    <w:p w14:paraId="081BCE0F">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1</w:t>
      </w:r>
      <w:r>
        <w:rPr>
          <w:rFonts w:hint="eastAsia" w:ascii="宋体" w:hAnsi="宋体" w:cs="宋体"/>
        </w:rPr>
        <w:t>、如有未尽事宜，由双方依法订立补充合同。</w:t>
      </w:r>
    </w:p>
    <w:p w14:paraId="21D93D58">
      <w:pPr>
        <w:pStyle w:val="9"/>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rPr>
      </w:pPr>
      <w:r>
        <w:rPr>
          <w:rFonts w:ascii="宋体" w:hAnsi="宋体" w:cs="宋体"/>
        </w:rPr>
        <w:t>2</w:t>
      </w:r>
      <w:r>
        <w:rPr>
          <w:rFonts w:hint="eastAsia" w:ascii="宋体" w:hAnsi="宋体" w:cs="宋体"/>
        </w:rPr>
        <w:t>、本合同一式捌份，甲方、乙方、采购代理机构各执贰份，政府采购管理部门备案贰份。签字盖章后生效，合同执行完毕自动失效。（合同的服务承诺则长期有效）。</w:t>
      </w:r>
    </w:p>
    <w:p w14:paraId="082CBC69">
      <w:pPr>
        <w:spacing w:line="400" w:lineRule="exact"/>
        <w:rPr>
          <w:rFonts w:ascii="宋体"/>
          <w:sz w:val="24"/>
          <w:szCs w:val="24"/>
        </w:rPr>
      </w:pPr>
    </w:p>
    <w:p w14:paraId="10B768A0">
      <w:pPr>
        <w:spacing w:line="480" w:lineRule="auto"/>
        <w:rPr>
          <w:rFonts w:ascii="宋体"/>
          <w:sz w:val="21"/>
          <w:szCs w:val="21"/>
        </w:rPr>
      </w:pPr>
      <w:r>
        <w:rPr>
          <w:rFonts w:hint="eastAsia" w:ascii="宋体" w:hAnsi="宋体" w:cs="宋体"/>
          <w:sz w:val="21"/>
          <w:szCs w:val="21"/>
        </w:rPr>
        <w:t>甲方：西安市长安区教育局（盖章）</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 xml:space="preserve">乙方： </w:t>
      </w:r>
      <w:r>
        <w:rPr>
          <w:rFonts w:ascii="宋体" w:hAnsi="宋体" w:cs="宋体"/>
          <w:sz w:val="21"/>
          <w:szCs w:val="21"/>
        </w:rPr>
        <w:t xml:space="preserve">           </w:t>
      </w:r>
      <w:r>
        <w:rPr>
          <w:rFonts w:hint="eastAsia" w:ascii="宋体" w:hAnsi="宋体" w:cs="宋体"/>
          <w:sz w:val="21"/>
          <w:szCs w:val="21"/>
        </w:rPr>
        <w:t xml:space="preserve">（盖章）                 </w:t>
      </w:r>
    </w:p>
    <w:p w14:paraId="14FD6B11">
      <w:pPr>
        <w:spacing w:line="480" w:lineRule="auto"/>
        <w:ind w:firstLine="630" w:firstLineChars="300"/>
        <w:rPr>
          <w:rFonts w:ascii="宋体"/>
          <w:sz w:val="21"/>
          <w:szCs w:val="21"/>
        </w:rPr>
      </w:pPr>
    </w:p>
    <w:p w14:paraId="27F3C19D">
      <w:pPr>
        <w:spacing w:line="480" w:lineRule="auto"/>
        <w:rPr>
          <w:rFonts w:ascii="宋体"/>
          <w:sz w:val="21"/>
          <w:szCs w:val="21"/>
        </w:rPr>
      </w:pPr>
      <w:r>
        <w:rPr>
          <w:rFonts w:hint="eastAsia" w:ascii="宋体" w:hAnsi="宋体" w:cs="宋体"/>
          <w:sz w:val="21"/>
          <w:szCs w:val="21"/>
        </w:rPr>
        <w:t>法定代表人：</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 xml:space="preserve"> 法定代表人：</w:t>
      </w:r>
    </w:p>
    <w:p w14:paraId="55222E20">
      <w:pPr>
        <w:spacing w:line="480" w:lineRule="auto"/>
        <w:rPr>
          <w:rFonts w:ascii="宋体"/>
          <w:sz w:val="21"/>
          <w:szCs w:val="21"/>
        </w:rPr>
      </w:pPr>
      <w:r>
        <w:rPr>
          <w:rFonts w:hint="eastAsia" w:ascii="宋体" w:hAnsi="宋体" w:cs="宋体"/>
          <w:sz w:val="21"/>
          <w:szCs w:val="21"/>
        </w:rPr>
        <w:t>代理人：（签字）</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代理人：（签字）</w:t>
      </w:r>
    </w:p>
    <w:p w14:paraId="178B3A7A">
      <w:pPr>
        <w:spacing w:line="480" w:lineRule="auto"/>
        <w:rPr>
          <w:rFonts w:ascii="宋体" w:hAnsi="宋体" w:cs="宋体"/>
          <w:sz w:val="21"/>
          <w:szCs w:val="21"/>
        </w:rPr>
      </w:pPr>
      <w:r>
        <w:rPr>
          <w:rFonts w:hint="eastAsia" w:ascii="宋体" w:hAnsi="宋体" w:cs="宋体"/>
          <w:sz w:val="21"/>
          <w:szCs w:val="21"/>
        </w:rPr>
        <w:t>电话：</w:t>
      </w:r>
      <w:r>
        <w:rPr>
          <w:rFonts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lang w:val="en-US" w:eastAsia="zh-CN"/>
        </w:rPr>
        <w:t xml:space="preserve">    </w:t>
      </w:r>
      <w:r>
        <w:rPr>
          <w:rFonts w:hint="eastAsia" w:ascii="宋体" w:hAnsi="宋体" w:cs="宋体"/>
          <w:sz w:val="21"/>
          <w:szCs w:val="21"/>
        </w:rPr>
        <w:t>电话：</w:t>
      </w:r>
    </w:p>
    <w:p w14:paraId="303A5204">
      <w:pPr>
        <w:spacing w:line="360" w:lineRule="auto"/>
        <w:rPr>
          <w:rFonts w:hint="eastAsia" w:ascii="宋体" w:hAnsi="宋体" w:cs="宋体"/>
          <w:sz w:val="21"/>
          <w:szCs w:val="21"/>
        </w:rPr>
      </w:pPr>
      <w:r>
        <w:rPr>
          <w:rFonts w:hint="eastAsia" w:ascii="宋体" w:hAnsi="宋体" w:cs="宋体"/>
          <w:sz w:val="21"/>
          <w:szCs w:val="21"/>
        </w:rPr>
        <w:t>开  户 行：中国建设银行股份有限公司</w:t>
      </w:r>
    </w:p>
    <w:p w14:paraId="1A409214">
      <w:pPr>
        <w:spacing w:line="360" w:lineRule="auto"/>
        <w:ind w:firstLine="1260" w:firstLineChars="600"/>
        <w:rPr>
          <w:rFonts w:ascii="宋体" w:hAnsi="宋体" w:cs="宋体"/>
          <w:sz w:val="21"/>
          <w:szCs w:val="21"/>
        </w:rPr>
      </w:pPr>
      <w:r>
        <w:rPr>
          <w:rFonts w:hint="eastAsia" w:ascii="宋体" w:hAnsi="宋体" w:cs="宋体"/>
          <w:sz w:val="21"/>
          <w:szCs w:val="21"/>
        </w:rPr>
        <w:t xml:space="preserve">西安长安区支行           </w:t>
      </w:r>
      <w:r>
        <w:rPr>
          <w:rFonts w:hint="eastAsia" w:ascii="宋体" w:hAnsi="宋体" w:cs="宋体"/>
          <w:sz w:val="21"/>
          <w:szCs w:val="21"/>
          <w:lang w:val="en-US" w:eastAsia="zh-CN"/>
        </w:rPr>
        <w:t xml:space="preserve">    </w:t>
      </w:r>
      <w:r>
        <w:rPr>
          <w:rFonts w:hint="eastAsia" w:ascii="宋体" w:hAnsi="宋体" w:cs="宋体"/>
          <w:sz w:val="21"/>
          <w:szCs w:val="21"/>
        </w:rPr>
        <w:t xml:space="preserve"> 开  户 行：         </w:t>
      </w:r>
    </w:p>
    <w:p w14:paraId="15341E6A">
      <w:pPr>
        <w:spacing w:line="360" w:lineRule="auto"/>
        <w:rPr>
          <w:rFonts w:hint="eastAsia" w:ascii="宋体" w:hAnsi="宋体" w:cs="宋体"/>
          <w:sz w:val="21"/>
          <w:szCs w:val="21"/>
        </w:rPr>
      </w:pPr>
      <w:r>
        <w:rPr>
          <w:rFonts w:hint="eastAsia" w:ascii="宋体" w:hAnsi="宋体" w:cs="宋体"/>
          <w:sz w:val="21"/>
          <w:szCs w:val="21"/>
        </w:rPr>
        <w:t xml:space="preserve">账  号： 6100 1705 2050 5000 4974     </w:t>
      </w:r>
      <w:r>
        <w:rPr>
          <w:rFonts w:hint="eastAsia" w:ascii="宋体" w:hAnsi="宋体" w:cs="宋体"/>
          <w:sz w:val="21"/>
          <w:szCs w:val="21"/>
          <w:lang w:val="en-US" w:eastAsia="zh-CN"/>
        </w:rPr>
        <w:t xml:space="preserve">    </w:t>
      </w:r>
      <w:r>
        <w:rPr>
          <w:rFonts w:hint="eastAsia" w:ascii="宋体" w:hAnsi="宋体" w:cs="宋体"/>
          <w:sz w:val="21"/>
          <w:szCs w:val="21"/>
        </w:rPr>
        <w:t>账     号：</w:t>
      </w:r>
    </w:p>
    <w:p w14:paraId="1479BB1A">
      <w:pPr>
        <w:spacing w:line="360" w:lineRule="auto"/>
        <w:rPr>
          <w:rFonts w:hint="default" w:ascii="宋体" w:hAnsi="宋体" w:eastAsia="宋体" w:cs="宋体"/>
          <w:sz w:val="21"/>
          <w:szCs w:val="21"/>
          <w:highlight w:val="none"/>
          <w:lang w:val="en-US" w:eastAsia="zh-CN"/>
        </w:rPr>
      </w:pPr>
      <w:r>
        <w:rPr>
          <w:rFonts w:hint="eastAsia" w:ascii="宋体" w:hAnsi="宋体" w:cs="宋体"/>
          <w:sz w:val="21"/>
          <w:szCs w:val="21"/>
          <w:lang w:val="en-US" w:eastAsia="zh-CN"/>
        </w:rPr>
        <w:t>地址 ：  西安市长安区长兴南路1号         地     址：</w:t>
      </w:r>
      <w:r>
        <w:rPr>
          <w:rFonts w:hint="eastAsia" w:cs="宋体"/>
          <w:sz w:val="21"/>
          <w:szCs w:val="21"/>
          <w:highlight w:val="none"/>
        </w:rPr>
        <w:t>x</w:t>
      </w:r>
      <w:r>
        <w:rPr>
          <w:rFonts w:hint="eastAsia" w:ascii="宋体" w:hAnsi="宋体" w:cs="宋体"/>
          <w:sz w:val="21"/>
          <w:szCs w:val="21"/>
          <w:highlight w:val="none"/>
          <w:lang w:val="en-US" w:eastAsia="zh-CN"/>
        </w:rPr>
        <w:t xml:space="preserve"> 省 </w:t>
      </w:r>
      <w:r>
        <w:rPr>
          <w:rFonts w:hint="eastAsia" w:cs="宋体"/>
          <w:sz w:val="21"/>
          <w:szCs w:val="21"/>
          <w:highlight w:val="none"/>
        </w:rPr>
        <w:t>x</w:t>
      </w:r>
      <w:r>
        <w:rPr>
          <w:rFonts w:hint="eastAsia" w:ascii="宋体" w:hAnsi="宋体" w:cs="宋体"/>
          <w:sz w:val="21"/>
          <w:szCs w:val="21"/>
          <w:highlight w:val="none"/>
          <w:lang w:val="en-US" w:eastAsia="zh-CN"/>
        </w:rPr>
        <w:t>市</w:t>
      </w:r>
      <w:r>
        <w:rPr>
          <w:rFonts w:hint="eastAsia" w:cs="宋体"/>
          <w:sz w:val="21"/>
          <w:szCs w:val="21"/>
          <w:highlight w:val="none"/>
        </w:rPr>
        <w:t>x</w:t>
      </w:r>
      <w:r>
        <w:rPr>
          <w:rFonts w:hint="eastAsia" w:ascii="宋体" w:hAnsi="宋体" w:cs="宋体"/>
          <w:sz w:val="21"/>
          <w:szCs w:val="21"/>
          <w:highlight w:val="none"/>
          <w:lang w:val="en-US" w:eastAsia="zh-CN"/>
        </w:rPr>
        <w:t xml:space="preserve"> 县（区）</w:t>
      </w:r>
      <w:r>
        <w:rPr>
          <w:rFonts w:hint="eastAsia" w:cs="宋体"/>
          <w:sz w:val="21"/>
          <w:szCs w:val="21"/>
          <w:highlight w:val="none"/>
        </w:rPr>
        <w:t>xxxx</w:t>
      </w:r>
    </w:p>
    <w:p w14:paraId="531FE24A">
      <w:pPr>
        <w:spacing w:line="360" w:lineRule="auto"/>
        <w:rPr>
          <w:rFonts w:hint="eastAsia" w:ascii="宋体" w:hAnsi="宋体" w:cs="宋体"/>
          <w:sz w:val="21"/>
          <w:szCs w:val="21"/>
          <w:lang w:val="en-US" w:eastAsia="zh-CN"/>
        </w:rPr>
      </w:pPr>
      <w:r>
        <w:rPr>
          <w:rFonts w:hint="eastAsia" w:ascii="宋体" w:hAnsi="宋体" w:cs="宋体"/>
          <w:sz w:val="21"/>
          <w:szCs w:val="21"/>
          <w:lang w:val="en-US" w:eastAsia="zh-CN"/>
        </w:rPr>
        <w:t>日期：    年   月    日                   日期：  年   月    日</w:t>
      </w:r>
    </w:p>
    <w:p w14:paraId="7B13EDA7"/>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upperLetter"/>
      <w:pStyle w:val="2"/>
      <w:lvlText w:val="%1、"/>
      <w:lvlJc w:val="left"/>
      <w:pPr>
        <w:tabs>
          <w:tab w:val="left" w:pos="960"/>
        </w:tabs>
        <w:ind w:left="960" w:hanging="324"/>
      </w:pPr>
      <w:rPr>
        <w:rFonts w:hint="eastAsia"/>
      </w:rPr>
    </w:lvl>
  </w:abstractNum>
  <w:abstractNum w:abstractNumId="1">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6F84B5C"/>
    <w:multiLevelType w:val="multilevel"/>
    <w:tmpl w:val="46F84B5C"/>
    <w:lvl w:ilvl="0" w:tentative="0">
      <w:start w:val="1"/>
      <w:numFmt w:val="japaneseCounting"/>
      <w:lvlText w:val="%1、"/>
      <w:lvlJc w:val="left"/>
      <w:pPr>
        <w:ind w:left="500" w:hanging="5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4A4A94"/>
    <w:rsid w:val="0E87566C"/>
    <w:rsid w:val="217979C6"/>
    <w:rsid w:val="2A7D6386"/>
    <w:rsid w:val="2B4D34AA"/>
    <w:rsid w:val="42234B65"/>
    <w:rsid w:val="499609A6"/>
    <w:rsid w:val="68575EB1"/>
    <w:rsid w:val="6F8F2CCF"/>
    <w:rsid w:val="7F410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numPr>
        <w:ilvl w:val="0"/>
        <w:numId w:val="1"/>
      </w:numPr>
      <w:jc w:val="center"/>
      <w:outlineLvl w:val="1"/>
    </w:pPr>
    <w:rPr>
      <w:rFonts w:ascii="黑体" w:eastAsia="黑体"/>
      <w:color w:val="000000"/>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ind w:right="-84" w:rightChars="-40"/>
      <w:jc w:val="center"/>
    </w:pPr>
    <w:rPr>
      <w:rFonts w:eastAsia="宋体"/>
      <w:kern w:val="2"/>
      <w:sz w:val="21"/>
      <w:szCs w:val="24"/>
      <w:lang w:val="en-US" w:eastAsia="zh-CN" w:bidi="ar-SA"/>
    </w:rPr>
  </w:style>
  <w:style w:type="paragraph" w:styleId="5">
    <w:name w:val="Plain Text"/>
    <w:basedOn w:val="1"/>
    <w:qFormat/>
    <w:uiPriority w:val="0"/>
    <w:rPr>
      <w:rFonts w:ascii="宋体" w:hAnsi="Courier New" w:eastAsia="宋体" w:cs="黑体"/>
      <w:sz w:val="21"/>
      <w:szCs w:val="21"/>
      <w:lang w:val="en-US" w:eastAsia="zh-CN" w:bidi="ar-SA"/>
    </w:rPr>
  </w:style>
  <w:style w:type="paragraph" w:styleId="6">
    <w:name w:val="Title"/>
    <w:basedOn w:val="1"/>
    <w:next w:val="1"/>
    <w:qFormat/>
    <w:uiPriority w:val="99"/>
    <w:pPr>
      <w:spacing w:before="240" w:after="60"/>
      <w:jc w:val="center"/>
      <w:outlineLvl w:val="0"/>
    </w:pPr>
    <w:rPr>
      <w:rFonts w:ascii="Calibri Light" w:hAnsi="Calibri Light"/>
      <w:b/>
      <w:bCs/>
      <w:kern w:val="0"/>
      <w:sz w:val="32"/>
      <w:szCs w:val="32"/>
    </w:rPr>
  </w:style>
  <w:style w:type="paragraph" w:customStyle="1" w:styleId="9">
    <w:name w:val="样式 首行缩进:  2 字符"/>
    <w:basedOn w:val="1"/>
    <w:autoRedefine/>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1921</Words>
  <Characters>1977</Characters>
  <Lines>0</Lines>
  <Paragraphs>0</Paragraphs>
  <TotalTime>4</TotalTime>
  <ScaleCrop>false</ScaleCrop>
  <LinksUpToDate>false</LinksUpToDate>
  <CharactersWithSpaces>2334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MY WAY、</cp:lastModifiedBy>
  <dcterms:modified xsi:type="dcterms:W3CDTF">2025-07-28T10:54:41Z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eyJoZGlkIjoiMGQyYWY4ZDY5ZWM5MzIxYzQwZmM0M2E0NWY0MzAyOGEiLCJ1c2VySWQiOiI2MTg4NTQ0MzUifQ==</vt:lpwstr>
  </property>
</Properties>
</file>